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4069" w14:textId="77777777" w:rsidR="000D0219" w:rsidRPr="006D1D4F" w:rsidRDefault="000D0219" w:rsidP="000D0219">
      <w:pPr>
        <w:pStyle w:val="NoSpacing"/>
        <w:jc w:val="center"/>
        <w:rPr>
          <w:b/>
          <w:bCs/>
          <w:sz w:val="32"/>
          <w:szCs w:val="28"/>
        </w:rPr>
      </w:pPr>
      <w:r w:rsidRPr="006D1D4F">
        <w:rPr>
          <w:b/>
          <w:bCs/>
          <w:sz w:val="32"/>
          <w:szCs w:val="28"/>
        </w:rPr>
        <w:t>Siseministri määruse „Põlevmaterjalide ja ohtlike ainete</w:t>
      </w:r>
      <w:r>
        <w:rPr>
          <w:b/>
          <w:bCs/>
          <w:sz w:val="32"/>
          <w:szCs w:val="28"/>
        </w:rPr>
        <w:t xml:space="preserve"> </w:t>
      </w:r>
      <w:r w:rsidRPr="006D1D4F">
        <w:rPr>
          <w:b/>
          <w:bCs/>
          <w:sz w:val="32"/>
          <w:szCs w:val="28"/>
        </w:rPr>
        <w:t>ladustamise tuleohutusnõuded“ eelnõu seletuskiri</w:t>
      </w:r>
    </w:p>
    <w:p w14:paraId="6D50B8D6" w14:textId="77777777" w:rsidR="000D0219" w:rsidRPr="00B701C8" w:rsidRDefault="000D0219" w:rsidP="000D0219">
      <w:pPr>
        <w:pStyle w:val="NoSpacing"/>
      </w:pPr>
    </w:p>
    <w:p w14:paraId="4CCFC887" w14:textId="77777777" w:rsidR="000D0219" w:rsidRPr="00D74C2C" w:rsidRDefault="000D0219" w:rsidP="000D0219">
      <w:pPr>
        <w:pStyle w:val="Heading1"/>
      </w:pPr>
      <w:bookmarkStart w:id="0" w:name="_Toc149306188"/>
      <w:r w:rsidRPr="00D74C2C">
        <w:t>1. Sissejuhatus</w:t>
      </w:r>
      <w:bookmarkEnd w:id="0"/>
    </w:p>
    <w:p w14:paraId="5A4CB457" w14:textId="77777777" w:rsidR="000D0219" w:rsidRDefault="000D0219" w:rsidP="000D0219">
      <w:pPr>
        <w:pStyle w:val="NoSpacing"/>
      </w:pPr>
    </w:p>
    <w:p w14:paraId="4BAF4A84" w14:textId="77777777" w:rsidR="000D0219" w:rsidRPr="00D74C2C" w:rsidRDefault="000D0219" w:rsidP="000D0219">
      <w:pPr>
        <w:pStyle w:val="Heading2"/>
      </w:pPr>
      <w:bookmarkStart w:id="1" w:name="_Toc149306189"/>
      <w:r w:rsidRPr="00D74C2C">
        <w:t>1.1. Sisukokkuvõte</w:t>
      </w:r>
      <w:bookmarkEnd w:id="1"/>
    </w:p>
    <w:p w14:paraId="1ECA8CC9" w14:textId="77777777" w:rsidR="000D0219" w:rsidRPr="00B701C8" w:rsidRDefault="000D0219" w:rsidP="000D0219">
      <w:pPr>
        <w:pStyle w:val="NoSpacing"/>
      </w:pPr>
    </w:p>
    <w:p w14:paraId="5B87C4E6" w14:textId="77777777" w:rsidR="000D0219" w:rsidRPr="00B701C8" w:rsidRDefault="000D0219" w:rsidP="000D0219">
      <w:pPr>
        <w:pStyle w:val="NoSpacing"/>
        <w:jc w:val="both"/>
      </w:pPr>
      <w:r w:rsidRPr="00B701C8">
        <w:t>Siseministri määruse „</w:t>
      </w:r>
      <w:r>
        <w:t>Põlevmaterjalide ja ohtlike ainete ladustamise tuleohutusnõuded</w:t>
      </w:r>
      <w:r w:rsidRPr="00B701C8">
        <w:t xml:space="preserve">“ eelnõuga (edaspidi </w:t>
      </w:r>
      <w:r w:rsidRPr="00B701C8">
        <w:rPr>
          <w:i/>
        </w:rPr>
        <w:t>eelnõu</w:t>
      </w:r>
      <w:r w:rsidRPr="00B701C8">
        <w:t xml:space="preserve">) nähakse tuleohutuse seaduse (edaspidi </w:t>
      </w:r>
      <w:proofErr w:type="spellStart"/>
      <w:r w:rsidRPr="00B701C8">
        <w:rPr>
          <w:i/>
        </w:rPr>
        <w:t>TuOS</w:t>
      </w:r>
      <w:proofErr w:type="spellEnd"/>
      <w:r w:rsidRPr="00B701C8">
        <w:t xml:space="preserve">) </w:t>
      </w:r>
      <w:r w:rsidRPr="00C115AB">
        <w:t>§ 19 lõike 7 alusel</w:t>
      </w:r>
      <w:r w:rsidRPr="00B701C8">
        <w:t xml:space="preserve"> ette </w:t>
      </w:r>
      <w:r>
        <w:t>ehitises ja selle territooriumil põlevmaterjali ja ohtlike ainete ladustamiseks tuleohutus</w:t>
      </w:r>
      <w:r>
        <w:softHyphen/>
        <w:t>nõuded.</w:t>
      </w:r>
      <w:r w:rsidRPr="00B701C8">
        <w:t xml:space="preserve"> Eelnõuga kehtestatakse uus terviktekst</w:t>
      </w:r>
      <w:r>
        <w:t xml:space="preserve"> ja tunnistatakse senine määrus kehtetuks. Peamised muudatused on järgmised.</w:t>
      </w:r>
    </w:p>
    <w:p w14:paraId="02998925" w14:textId="77777777" w:rsidR="000D0219" w:rsidRPr="00B701C8" w:rsidRDefault="000D0219" w:rsidP="000D0219">
      <w:pPr>
        <w:pStyle w:val="NoSpacing"/>
      </w:pPr>
    </w:p>
    <w:p w14:paraId="572EFEE5" w14:textId="0834E45F" w:rsidR="000D0219" w:rsidRDefault="000D0219" w:rsidP="000D0219">
      <w:pPr>
        <w:pStyle w:val="NoSpacing"/>
        <w:numPr>
          <w:ilvl w:val="0"/>
          <w:numId w:val="18"/>
        </w:numPr>
        <w:jc w:val="both"/>
      </w:pPr>
      <w:r w:rsidRPr="006D1D4F">
        <w:rPr>
          <w:b/>
          <w:bCs/>
        </w:rPr>
        <w:t>Täiendatakse ohtlike ainete ladustamise regulatsiooni.</w:t>
      </w:r>
      <w:r>
        <w:t xml:space="preserve"> Veeseaduse muutmise seaduse eelnõuga</w:t>
      </w:r>
      <w:r>
        <w:rPr>
          <w:rStyle w:val="FootnoteReference"/>
        </w:rPr>
        <w:footnoteReference w:id="1"/>
      </w:r>
      <w:r>
        <w:t xml:space="preserve"> </w:t>
      </w:r>
      <w:r w:rsidR="006203F6">
        <w:t xml:space="preserve">(edaspidi eelnõu </w:t>
      </w:r>
      <w:r w:rsidR="006203F6" w:rsidRPr="001E177B">
        <w:rPr>
          <w:i/>
          <w:iCs/>
        </w:rPr>
        <w:t>346 SE</w:t>
      </w:r>
      <w:r w:rsidR="006203F6">
        <w:t xml:space="preserve">) </w:t>
      </w:r>
      <w:r>
        <w:t>tunnistatakse kehtetuks veeseaduses reguleeritud nõuded n</w:t>
      </w:r>
      <w:r w:rsidRPr="00C115AB">
        <w:t>aftasaaduse, põlev</w:t>
      </w:r>
      <w:r>
        <w:softHyphen/>
      </w:r>
      <w:r w:rsidRPr="00C115AB">
        <w:t>kiviõli</w:t>
      </w:r>
      <w:r>
        <w:t xml:space="preserve"> ja</w:t>
      </w:r>
      <w:r w:rsidRPr="00C115AB">
        <w:t xml:space="preserve"> selle saaduse </w:t>
      </w:r>
      <w:r>
        <w:t>ning</w:t>
      </w:r>
      <w:r w:rsidRPr="00C115AB">
        <w:t xml:space="preserve"> biokütuse hoidla kuja</w:t>
      </w:r>
      <w:r>
        <w:t>le, sest need ei ole niivõrd olulised vee kaitseks, kuivõrd tuleohutuse tagamiseks. Seega on asjakohane lisada see regulatsioon siseministri määrusesse. Lisaks täiendatakse ohtlike ainete ladustamise nõudeid ka teiste nõuetega, mille eesmärk on suurendada tuleohutust.</w:t>
      </w:r>
      <w:r w:rsidR="000420B4">
        <w:t xml:space="preserve"> </w:t>
      </w:r>
      <w:r w:rsidR="00EC6DDD">
        <w:rPr>
          <w:highlight w:val="yellow"/>
        </w:rPr>
        <w:t>K</w:t>
      </w:r>
      <w:r w:rsidR="000420B4" w:rsidRPr="000420B4">
        <w:rPr>
          <w:highlight w:val="yellow"/>
        </w:rPr>
        <w:t xml:space="preserve">emikaaliseaduse § 8 lg 1 </w:t>
      </w:r>
      <w:r w:rsidR="00EC6DDD">
        <w:rPr>
          <w:highlight w:val="yellow"/>
        </w:rPr>
        <w:t>näeb ette</w:t>
      </w:r>
      <w:r w:rsidR="000420B4" w:rsidRPr="000420B4">
        <w:rPr>
          <w:highlight w:val="yellow"/>
        </w:rPr>
        <w:t xml:space="preserve">, et kemikaali tuleb käidelda inimese elule ja tervisele ning asjale ja keskkonnale ohutult, ei ole piisav ka kemikaali käitlejale nagu on Päästeamet oma järelevalve käigus tuvastanud. </w:t>
      </w:r>
      <w:r w:rsidR="000420B4">
        <w:rPr>
          <w:highlight w:val="yellow"/>
        </w:rPr>
        <w:t>Kemikaalikäitlejad on oma tegevuses juhindunud ohutuskaartidest või muudest juhistest, kui see pole alati taganud piisavat selgust, kuidas tagatakse ohtlike ainete ladustamisel tuleohutus. Silmas tuleb aga pidada, et</w:t>
      </w:r>
      <w:r w:rsidR="000420B4" w:rsidRPr="000420B4">
        <w:rPr>
          <w:highlight w:val="yellow"/>
        </w:rPr>
        <w:t xml:space="preserve"> eelnõu </w:t>
      </w:r>
      <w:r w:rsidR="00EC6DDD">
        <w:rPr>
          <w:highlight w:val="yellow"/>
        </w:rPr>
        <w:t xml:space="preserve">kohaselt </w:t>
      </w:r>
      <w:r w:rsidR="000420B4" w:rsidRPr="000420B4">
        <w:rPr>
          <w:highlight w:val="yellow"/>
        </w:rPr>
        <w:t>käsit</w:t>
      </w:r>
      <w:r w:rsidR="00EC6DDD">
        <w:rPr>
          <w:highlight w:val="yellow"/>
        </w:rPr>
        <w:t>atakse</w:t>
      </w:r>
      <w:r w:rsidR="000420B4" w:rsidRPr="000420B4">
        <w:rPr>
          <w:highlight w:val="yellow"/>
        </w:rPr>
        <w:t xml:space="preserve"> ohtliku ainena ohtlikku kemikaali kemikaaliseaduse tähenduses, mis tähendab pisut erinevat lähenemist, kui kemikaaliseadus ette näeb.</w:t>
      </w:r>
      <w:r w:rsidR="000420B4">
        <w:t xml:space="preserve">  </w:t>
      </w:r>
    </w:p>
    <w:p w14:paraId="40F588B6" w14:textId="77777777" w:rsidR="000D0219" w:rsidRDefault="000D0219" w:rsidP="000D0219">
      <w:pPr>
        <w:pStyle w:val="NoSpacing"/>
        <w:jc w:val="both"/>
      </w:pPr>
    </w:p>
    <w:p w14:paraId="268A7FB7" w14:textId="77777777" w:rsidR="000D0219" w:rsidRDefault="000D0219" w:rsidP="000D0219">
      <w:pPr>
        <w:pStyle w:val="NoSpacing"/>
        <w:numPr>
          <w:ilvl w:val="0"/>
          <w:numId w:val="18"/>
        </w:numPr>
        <w:jc w:val="both"/>
      </w:pPr>
      <w:r w:rsidRPr="006D1D4F">
        <w:rPr>
          <w:b/>
          <w:bCs/>
        </w:rPr>
        <w:t>Kaotatakse ära nõue järgida põlevmaterjali ladustamisel k</w:t>
      </w:r>
      <w:r>
        <w:rPr>
          <w:b/>
          <w:bCs/>
        </w:rPr>
        <w:t>innistu</w:t>
      </w:r>
      <w:r w:rsidRPr="006D1D4F">
        <w:rPr>
          <w:b/>
          <w:bCs/>
        </w:rPr>
        <w:t xml:space="preserve"> välispiiri lähedust.</w:t>
      </w:r>
      <w:r>
        <w:t xml:space="preserve"> Tuleohu vältimisel on oluline hoida ära tule levik ehitistele. Kehtiv õigus ei võimalda põlevmaterjali ladustada kinnistu välispiiri läheduses, kuid tiheasustusega alal on vahel raske leida kinnistul õiget kohta, kus hoida näiteks prügikonteinerit. Seetõttu reguleeritakse eelnõus vaid ehitise</w:t>
      </w:r>
      <w:r w:rsidRPr="008A350A">
        <w:t xml:space="preserve"> </w:t>
      </w:r>
      <w:r>
        <w:t>lähedust, hõlmates ka naaberkinnistu ehitisi. Loomulikult tuleb igal juhul tagada päästjate juurdepääs ehitistele.</w:t>
      </w:r>
    </w:p>
    <w:p w14:paraId="2A5261E7" w14:textId="77777777" w:rsidR="000D0219" w:rsidRDefault="000D0219" w:rsidP="000D0219">
      <w:pPr>
        <w:pStyle w:val="NoSpacing"/>
        <w:ind w:left="360"/>
        <w:jc w:val="both"/>
      </w:pPr>
    </w:p>
    <w:p w14:paraId="3582AD44" w14:textId="77777777" w:rsidR="000D0219" w:rsidRDefault="000D0219" w:rsidP="000D0219">
      <w:pPr>
        <w:pStyle w:val="NoSpacing"/>
        <w:numPr>
          <w:ilvl w:val="0"/>
          <w:numId w:val="18"/>
        </w:numPr>
        <w:jc w:val="both"/>
      </w:pPr>
      <w:r w:rsidRPr="00BE6E18">
        <w:rPr>
          <w:b/>
          <w:bCs/>
        </w:rPr>
        <w:t xml:space="preserve">Lisatakse põlevmaterjali </w:t>
      </w:r>
      <w:r>
        <w:rPr>
          <w:b/>
          <w:bCs/>
        </w:rPr>
        <w:t xml:space="preserve">lahtise </w:t>
      </w:r>
      <w:r w:rsidRPr="00BE6E18">
        <w:rPr>
          <w:b/>
          <w:bCs/>
        </w:rPr>
        <w:t>ladustamise plaani näidis</w:t>
      </w:r>
      <w:r>
        <w:t>, millest on tuntud valdkonnas pikalt puudust, ja kaotatakse ära kohustus kooskõlastada see Päästeametiga.</w:t>
      </w:r>
      <w:r w:rsidRPr="00D60CF9">
        <w:t xml:space="preserve"> </w:t>
      </w:r>
      <w:r>
        <w:t>Lisaks täpsustatakse põlevmaterjalist jäätmete ja olmejäätmete ladustamise nõudeid.</w:t>
      </w:r>
    </w:p>
    <w:p w14:paraId="713DD514" w14:textId="77777777" w:rsidR="000D0219" w:rsidRDefault="000D0219" w:rsidP="000D0219">
      <w:pPr>
        <w:jc w:val="both"/>
      </w:pPr>
    </w:p>
    <w:p w14:paraId="6C245620" w14:textId="77777777" w:rsidR="000D0219" w:rsidRDefault="000D0219" w:rsidP="000D0219">
      <w:pPr>
        <w:jc w:val="both"/>
      </w:pPr>
      <w:r w:rsidRPr="00CE008C">
        <w:t>Eelnõu avalda</w:t>
      </w:r>
      <w:r>
        <w:t>b</w:t>
      </w:r>
      <w:r w:rsidRPr="00CE008C">
        <w:t xml:space="preserve"> sihtrühmadele pigem positiivset mõju, sest kehtestatakse selgemad tuleohutus</w:t>
      </w:r>
      <w:r>
        <w:softHyphen/>
      </w:r>
      <w:r w:rsidRPr="00CE008C">
        <w:t xml:space="preserve">nõuded ohtlike ainete ladustamisele ning kaotatakse kohustus järgida põlevmaterjali </w:t>
      </w:r>
      <w:r>
        <w:t>ning</w:t>
      </w:r>
      <w:r w:rsidRPr="00CE008C">
        <w:t xml:space="preserve"> </w:t>
      </w:r>
      <w:r>
        <w:t xml:space="preserve">põlevmaterjalist </w:t>
      </w:r>
      <w:r w:rsidRPr="00CE008C">
        <w:t>jäätmete</w:t>
      </w:r>
      <w:r>
        <w:t xml:space="preserve"> ja olmejäätmete</w:t>
      </w:r>
      <w:r w:rsidRPr="00CE008C">
        <w:t xml:space="preserve"> ladustamisel kinnistu välispiiri.</w:t>
      </w:r>
    </w:p>
    <w:p w14:paraId="78CC284F" w14:textId="77777777" w:rsidR="00165C12" w:rsidRDefault="00165C12" w:rsidP="000D0219">
      <w:pPr>
        <w:jc w:val="both"/>
      </w:pPr>
    </w:p>
    <w:p w14:paraId="7932AE20" w14:textId="77777777" w:rsidR="000D0219" w:rsidRPr="00B73117" w:rsidRDefault="000D0219" w:rsidP="000D0219">
      <w:pPr>
        <w:pStyle w:val="Heading2"/>
      </w:pPr>
      <w:bookmarkStart w:id="2" w:name="_Toc149306190"/>
      <w:r>
        <w:t>1.2. Eelnõu ettevalmistajad</w:t>
      </w:r>
      <w:bookmarkEnd w:id="2"/>
    </w:p>
    <w:p w14:paraId="284EEBBA" w14:textId="77777777" w:rsidR="000D0219" w:rsidRPr="00B701C8" w:rsidRDefault="000D0219" w:rsidP="000D0219">
      <w:pPr>
        <w:pStyle w:val="NoSpacing"/>
        <w:jc w:val="both"/>
      </w:pPr>
    </w:p>
    <w:p w14:paraId="76B5F9D6" w14:textId="77777777" w:rsidR="000D0219" w:rsidRDefault="000D0219" w:rsidP="000D0219">
      <w:pPr>
        <w:pStyle w:val="NoSpacing"/>
        <w:jc w:val="both"/>
      </w:pPr>
      <w:r w:rsidRPr="00B701C8">
        <w:t>Eelnõu ja seletuskirja on koostanud</w:t>
      </w:r>
      <w:r>
        <w:t>:</w:t>
      </w:r>
    </w:p>
    <w:p w14:paraId="3E3E7A95" w14:textId="77777777" w:rsidR="000D0219" w:rsidRDefault="000D0219" w:rsidP="000D0219">
      <w:pPr>
        <w:pStyle w:val="NoSpacing"/>
        <w:numPr>
          <w:ilvl w:val="0"/>
          <w:numId w:val="21"/>
        </w:numPr>
        <w:jc w:val="both"/>
      </w:pPr>
      <w:r w:rsidRPr="00B701C8">
        <w:t>Siseministeeriumi pääste- ja ohutuspoliitika osakonna nõunik Mari Tikan (</w:t>
      </w:r>
      <w:hyperlink r:id="rId11" w:history="1">
        <w:r w:rsidRPr="00B701C8">
          <w:rPr>
            <w:rStyle w:val="Hyperlink"/>
            <w:rFonts w:cs="Times New Roman"/>
            <w:szCs w:val="24"/>
          </w:rPr>
          <w:t>mari.tikan@siseministeerium.ee</w:t>
        </w:r>
      </w:hyperlink>
      <w:r w:rsidRPr="00B701C8">
        <w:t>, tel 612 5142)</w:t>
      </w:r>
      <w:r>
        <w:t xml:space="preserve"> ning</w:t>
      </w:r>
      <w:r w:rsidRPr="00B701C8">
        <w:t xml:space="preserve"> </w:t>
      </w:r>
    </w:p>
    <w:p w14:paraId="7DF17912" w14:textId="77777777" w:rsidR="000D0219" w:rsidRDefault="000D0219" w:rsidP="000D0219">
      <w:pPr>
        <w:pStyle w:val="NoSpacing"/>
        <w:numPr>
          <w:ilvl w:val="0"/>
          <w:numId w:val="21"/>
        </w:numPr>
        <w:jc w:val="both"/>
      </w:pPr>
      <w:r w:rsidRPr="00B701C8">
        <w:t>Päästeameti</w:t>
      </w:r>
      <w:r>
        <w:t>:</w:t>
      </w:r>
    </w:p>
    <w:p w14:paraId="33BEAAAA" w14:textId="77777777" w:rsidR="000D0219" w:rsidRDefault="000D0219" w:rsidP="000D0219">
      <w:pPr>
        <w:pStyle w:val="NoSpacing"/>
        <w:numPr>
          <w:ilvl w:val="0"/>
          <w:numId w:val="22"/>
        </w:numPr>
        <w:jc w:val="both"/>
      </w:pPr>
      <w:r w:rsidRPr="00B701C8">
        <w:lastRenderedPageBreak/>
        <w:t xml:space="preserve">ohutusjärelevalve osakonna ekspert </w:t>
      </w:r>
      <w:r>
        <w:t>Reelika Kuusik</w:t>
      </w:r>
      <w:r w:rsidRPr="00B701C8">
        <w:t xml:space="preserve"> (</w:t>
      </w:r>
      <w:hyperlink r:id="rId12" w:history="1">
        <w:r w:rsidRPr="00A87E54">
          <w:rPr>
            <w:rStyle w:val="Hyperlink"/>
          </w:rPr>
          <w:t>reelika.kuusik@rescue.ee</w:t>
        </w:r>
      </w:hyperlink>
      <w:r>
        <w:t>) ja</w:t>
      </w:r>
    </w:p>
    <w:p w14:paraId="34A610CD" w14:textId="77777777" w:rsidR="000D0219" w:rsidRDefault="000D0219" w:rsidP="000D0219">
      <w:pPr>
        <w:pStyle w:val="NoSpacing"/>
        <w:numPr>
          <w:ilvl w:val="0"/>
          <w:numId w:val="22"/>
        </w:numPr>
        <w:jc w:val="both"/>
      </w:pPr>
      <w:r>
        <w:t>Lääne päästekeskuse ohutusjärelevalve büroo tuleohutuskontrolli nõunik Jaak Jaanso (</w:t>
      </w:r>
      <w:hyperlink r:id="rId13" w:history="1">
        <w:r w:rsidRPr="00A87E54">
          <w:rPr>
            <w:rStyle w:val="Hyperlink"/>
          </w:rPr>
          <w:t>jaak.jaanso@rescue.ee</w:t>
        </w:r>
      </w:hyperlink>
      <w:r>
        <w:t>)</w:t>
      </w:r>
      <w:r w:rsidRPr="00B701C8">
        <w:t xml:space="preserve">. </w:t>
      </w:r>
    </w:p>
    <w:p w14:paraId="61DF6887" w14:textId="77777777" w:rsidR="000D0219" w:rsidRDefault="000D0219" w:rsidP="000D0219">
      <w:pPr>
        <w:pStyle w:val="NoSpacing"/>
        <w:jc w:val="both"/>
      </w:pPr>
    </w:p>
    <w:p w14:paraId="52B9FE00" w14:textId="77777777" w:rsidR="000D0219" w:rsidRDefault="000D0219" w:rsidP="000D0219">
      <w:pPr>
        <w:pStyle w:val="NoSpacing"/>
        <w:jc w:val="both"/>
      </w:pPr>
      <w:r w:rsidRPr="00B701C8">
        <w:t>Eelnõu ja seletuskirja juriidilist kvaliteeti on kontrollinud Sise</w:t>
      </w:r>
      <w:r>
        <w:softHyphen/>
      </w:r>
      <w:r w:rsidRPr="00B701C8">
        <w:t>ministeeriumi õigusnõunik</w:t>
      </w:r>
      <w:r>
        <w:t xml:space="preserve"> Helen Ojamaa-Muru</w:t>
      </w:r>
      <w:r w:rsidRPr="00B701C8">
        <w:t xml:space="preserve"> (</w:t>
      </w:r>
      <w:hyperlink r:id="rId14" w:history="1">
        <w:r w:rsidRPr="00A87E54">
          <w:rPr>
            <w:rStyle w:val="Hyperlink"/>
            <w:rFonts w:cs="Times New Roman"/>
            <w:szCs w:val="24"/>
          </w:rPr>
          <w:t>helen.ojamaa-muru@siseministeerium.ee</w:t>
        </w:r>
      </w:hyperlink>
      <w:r w:rsidRPr="00B701C8">
        <w:t>)</w:t>
      </w:r>
      <w:r>
        <w:t xml:space="preserve"> ja </w:t>
      </w:r>
      <w:r w:rsidRPr="002165E3">
        <w:rPr>
          <w:rFonts w:cs="Times New Roman"/>
          <w:color w:val="0D0D0D" w:themeColor="text1" w:themeTint="F2"/>
        </w:rPr>
        <w:t>õigusosakonna õigusnõunik</w:t>
      </w:r>
      <w:r>
        <w:rPr>
          <w:rFonts w:cs="Times New Roman"/>
          <w:color w:val="0D0D0D" w:themeColor="text1" w:themeTint="F2"/>
        </w:rPr>
        <w:t xml:space="preserve"> Gerly Herm (</w:t>
      </w:r>
      <w:hyperlink r:id="rId15" w:history="1">
        <w:r w:rsidRPr="00594BE7">
          <w:rPr>
            <w:rStyle w:val="Hyperlink"/>
          </w:rPr>
          <w:t>gerly.herm@siseministeerium.ee</w:t>
        </w:r>
      </w:hyperlink>
      <w:r>
        <w:rPr>
          <w:rFonts w:cs="Times New Roman"/>
          <w:color w:val="0D0D0D" w:themeColor="text1" w:themeTint="F2"/>
        </w:rPr>
        <w:t>)</w:t>
      </w:r>
      <w:r w:rsidRPr="00B701C8">
        <w:t>.</w:t>
      </w:r>
    </w:p>
    <w:p w14:paraId="1E06A7FF" w14:textId="77777777" w:rsidR="000D0219" w:rsidRDefault="000D0219" w:rsidP="000D0219">
      <w:pPr>
        <w:pStyle w:val="NoSpacing"/>
        <w:jc w:val="both"/>
      </w:pPr>
      <w:r w:rsidRPr="00B701C8">
        <w:t>Eelnõu ja seletuskirja on keeleliselt toimetanud Siseministeeriumi õigusosakonna keele</w:t>
      </w:r>
      <w:r>
        <w:softHyphen/>
      </w:r>
      <w:r w:rsidRPr="00B701C8">
        <w:t>toimetaja Heike Olmre (</w:t>
      </w:r>
      <w:hyperlink r:id="rId16" w:history="1">
        <w:r w:rsidRPr="00B701C8">
          <w:rPr>
            <w:rStyle w:val="Hyperlink"/>
            <w:rFonts w:cs="Times New Roman"/>
            <w:szCs w:val="24"/>
          </w:rPr>
          <w:t>heike.olmre@siseministeerium.ee</w:t>
        </w:r>
      </w:hyperlink>
      <w:r w:rsidRPr="00B701C8">
        <w:t>, tel 612 5241).</w:t>
      </w:r>
    </w:p>
    <w:p w14:paraId="006795A4" w14:textId="77777777" w:rsidR="000D0219" w:rsidRDefault="000D0219" w:rsidP="000D0219">
      <w:pPr>
        <w:pStyle w:val="NoSpacing"/>
        <w:jc w:val="both"/>
      </w:pPr>
    </w:p>
    <w:p w14:paraId="20E46A4E" w14:textId="77777777" w:rsidR="000D0219" w:rsidRPr="00BF21CB" w:rsidRDefault="000D0219" w:rsidP="000D0219">
      <w:pPr>
        <w:pStyle w:val="Heading2"/>
      </w:pPr>
      <w:bookmarkStart w:id="3" w:name="_Toc149306191"/>
      <w:r w:rsidRPr="00BF21CB">
        <w:t>1.3. Märkused</w:t>
      </w:r>
      <w:bookmarkEnd w:id="3"/>
    </w:p>
    <w:p w14:paraId="75CEEEE0" w14:textId="77777777" w:rsidR="000D0219" w:rsidRDefault="000D0219" w:rsidP="000D0219">
      <w:pPr>
        <w:pStyle w:val="NoSpacing"/>
        <w:keepNext/>
        <w:jc w:val="both"/>
      </w:pPr>
    </w:p>
    <w:p w14:paraId="1EAF0CF9" w14:textId="77777777" w:rsidR="000D0219" w:rsidRDefault="000D0219" w:rsidP="000D0219">
      <w:pPr>
        <w:pStyle w:val="NoSpacing"/>
        <w:jc w:val="both"/>
      </w:pPr>
      <w:r w:rsidRPr="00B701C8">
        <w:t>Eelnõuga kehtestatakse uus terviktekst</w:t>
      </w:r>
      <w:r>
        <w:t xml:space="preserve"> ja tunnistatakse kehtetuks</w:t>
      </w:r>
      <w:r w:rsidRPr="001A431D">
        <w:t xml:space="preserve"> </w:t>
      </w:r>
      <w:r>
        <w:t>s</w:t>
      </w:r>
      <w:r w:rsidRPr="00C115AB">
        <w:t>iseministri 2. septembri 2010. aasta määrus nr 44 „Põlevmaterjalide ja ohtlike ainete ladustamise tuleohutusnõuded“</w:t>
      </w:r>
      <w:r w:rsidRPr="001A431D">
        <w:t xml:space="preserve"> </w:t>
      </w:r>
      <w:r w:rsidRPr="00B701C8">
        <w:t xml:space="preserve">(edaspidi </w:t>
      </w:r>
      <w:r>
        <w:rPr>
          <w:i/>
          <w:iCs/>
        </w:rPr>
        <w:t xml:space="preserve">kehtiv </w:t>
      </w:r>
      <w:r w:rsidRPr="00B701C8">
        <w:rPr>
          <w:i/>
          <w:iCs/>
        </w:rPr>
        <w:t>määrus</w:t>
      </w:r>
      <w:r w:rsidRPr="00B701C8">
        <w:t>).</w:t>
      </w:r>
    </w:p>
    <w:p w14:paraId="3C918134" w14:textId="77777777" w:rsidR="000D0219" w:rsidRPr="00B701C8" w:rsidRDefault="000D0219" w:rsidP="000D0219">
      <w:pPr>
        <w:pStyle w:val="NoSpacing"/>
        <w:jc w:val="both"/>
      </w:pPr>
    </w:p>
    <w:p w14:paraId="35166C14" w14:textId="3129A7CF" w:rsidR="000D0219" w:rsidRDefault="000D0219" w:rsidP="000D0219">
      <w:pPr>
        <w:jc w:val="both"/>
      </w:pPr>
      <w:r w:rsidRPr="00E24949">
        <w:t xml:space="preserve">Eelnõu on seotud </w:t>
      </w:r>
      <w:r>
        <w:t>eelnõu</w:t>
      </w:r>
      <w:r w:rsidRPr="00E24949">
        <w:t>ga</w:t>
      </w:r>
      <w:r w:rsidR="006203F6">
        <w:t xml:space="preserve"> 346 SE</w:t>
      </w:r>
      <w:r>
        <w:rPr>
          <w:rStyle w:val="FootnoteReference"/>
        </w:rPr>
        <w:footnoteReference w:id="2"/>
      </w:r>
      <w:r w:rsidRPr="00E24949">
        <w:t xml:space="preserve">, mis </w:t>
      </w:r>
      <w:r w:rsidRPr="00CE008C">
        <w:t>on Riigikogu menetlusse esitamisel. Eelnõu ei ole seotud Vabariigi Valitsuse tegevusprogrammiga ega Euroopa Liidu õiguse rakendamisega.</w:t>
      </w:r>
    </w:p>
    <w:p w14:paraId="383CF9FB" w14:textId="77777777" w:rsidR="000D0219" w:rsidRPr="00B701C8" w:rsidRDefault="000D0219" w:rsidP="000D0219">
      <w:pPr>
        <w:pStyle w:val="NoSpacing"/>
      </w:pPr>
    </w:p>
    <w:p w14:paraId="164EED4D" w14:textId="77777777" w:rsidR="000D0219" w:rsidRPr="00B701C8" w:rsidRDefault="000D0219" w:rsidP="000D0219">
      <w:pPr>
        <w:pStyle w:val="Heading1"/>
      </w:pPr>
      <w:bookmarkStart w:id="4" w:name="_Toc149306192"/>
      <w:r w:rsidRPr="00B701C8">
        <w:t>2. Eelnõu sisu ja võrdlev analüüs</w:t>
      </w:r>
      <w:bookmarkEnd w:id="4"/>
    </w:p>
    <w:p w14:paraId="6CF251A7" w14:textId="77777777" w:rsidR="000D0219" w:rsidRPr="00B701C8" w:rsidRDefault="000D0219" w:rsidP="000D0219">
      <w:pPr>
        <w:pStyle w:val="NoSpacing"/>
      </w:pPr>
    </w:p>
    <w:p w14:paraId="273353BA" w14:textId="36985802" w:rsidR="000D0219" w:rsidRPr="00B701C8" w:rsidRDefault="000D0219" w:rsidP="000D0219">
      <w:pPr>
        <w:pStyle w:val="NoSpacing"/>
        <w:jc w:val="both"/>
      </w:pPr>
      <w:r w:rsidRPr="00B701C8">
        <w:t xml:space="preserve">Eelnõu koosneb </w:t>
      </w:r>
      <w:r w:rsidRPr="00BE6E18">
        <w:rPr>
          <w:b/>
          <w:bCs/>
        </w:rPr>
        <w:t>1</w:t>
      </w:r>
      <w:r w:rsidR="004F3A41">
        <w:rPr>
          <w:b/>
          <w:bCs/>
        </w:rPr>
        <w:t>5</w:t>
      </w:r>
      <w:r w:rsidRPr="00BE6E18">
        <w:rPr>
          <w:b/>
          <w:bCs/>
        </w:rPr>
        <w:t xml:space="preserve"> paragrahvist</w:t>
      </w:r>
      <w:r>
        <w:t xml:space="preserve"> ja kolmest lisast.</w:t>
      </w:r>
    </w:p>
    <w:p w14:paraId="771FDB50" w14:textId="77777777" w:rsidR="000D0219" w:rsidRPr="00B701C8" w:rsidRDefault="000D0219" w:rsidP="000D0219">
      <w:pPr>
        <w:pStyle w:val="NoSpacing"/>
        <w:jc w:val="both"/>
        <w:rPr>
          <w:bCs/>
        </w:rPr>
      </w:pPr>
    </w:p>
    <w:p w14:paraId="1C2D769D" w14:textId="4AFCDBA5" w:rsidR="000D0219" w:rsidRDefault="000D0219" w:rsidP="000D0219">
      <w:pPr>
        <w:pStyle w:val="NoSpacing"/>
        <w:jc w:val="both"/>
      </w:pPr>
      <w:bookmarkStart w:id="5" w:name="_Toc149306193"/>
      <w:r w:rsidRPr="00BE6E18">
        <w:rPr>
          <w:rStyle w:val="Heading3Char"/>
        </w:rPr>
        <w:t>Eelnõu §-ga 1</w:t>
      </w:r>
      <w:bookmarkEnd w:id="5"/>
      <w:r w:rsidRPr="00B701C8">
        <w:t xml:space="preserve"> kehtestatakse määruse reguleerimisala: </w:t>
      </w:r>
      <w:r w:rsidRPr="00B91661">
        <w:t>põlevmaterjali ja ohtlik</w:t>
      </w:r>
      <w:r>
        <w:t>u</w:t>
      </w:r>
      <w:r w:rsidRPr="00B91661">
        <w:t xml:space="preserve"> aine ladustamise tuleohutusnõuded</w:t>
      </w:r>
      <w:r>
        <w:t>, sealhulgas nõuded n</w:t>
      </w:r>
      <w:r w:rsidRPr="0086367A">
        <w:t>aftasaaduse, põlevkiviõli</w:t>
      </w:r>
      <w:r>
        <w:t xml:space="preserve"> ja</w:t>
      </w:r>
      <w:r w:rsidRPr="0086367A">
        <w:t xml:space="preserve"> selle saaduse </w:t>
      </w:r>
      <w:r>
        <w:t>ning</w:t>
      </w:r>
      <w:r w:rsidRPr="0086367A">
        <w:t xml:space="preserve"> biokütuse</w:t>
      </w:r>
      <w:r>
        <w:t xml:space="preserve"> hoidla (edaspidi </w:t>
      </w:r>
      <w:r w:rsidRPr="00240B71">
        <w:rPr>
          <w:i/>
          <w:iCs/>
        </w:rPr>
        <w:t>hoidla</w:t>
      </w:r>
      <w:r>
        <w:t>), ammoniaagirajatise ning hapniku hoiukoha</w:t>
      </w:r>
      <w:r w:rsidRPr="00E55C26">
        <w:t xml:space="preserve"> </w:t>
      </w:r>
      <w:r w:rsidRPr="00461CCE">
        <w:t>kujale</w:t>
      </w:r>
      <w:r w:rsidRPr="00B91661">
        <w:t>.</w:t>
      </w:r>
      <w:r w:rsidR="009B65A4">
        <w:t xml:space="preserve"> Kuja all mõistetakse ohutut vahemaad põlevmaterjali ja ohtliku aine ladustamise koha ja teiste ehitiste vahel.</w:t>
      </w:r>
    </w:p>
    <w:p w14:paraId="172C23E7" w14:textId="77777777" w:rsidR="000D0219" w:rsidRDefault="000D0219" w:rsidP="000D0219">
      <w:pPr>
        <w:pStyle w:val="NoSpacing"/>
        <w:jc w:val="both"/>
      </w:pPr>
    </w:p>
    <w:p w14:paraId="136A179B" w14:textId="77777777" w:rsidR="000D0219" w:rsidRPr="00B701C8" w:rsidRDefault="000D0219" w:rsidP="000D0219">
      <w:pPr>
        <w:pStyle w:val="NoSpacing"/>
        <w:jc w:val="both"/>
      </w:pPr>
      <w:r>
        <w:t xml:space="preserve">Ehkki eelnõu 3. peatükis täiendatakse oluliselt ohtliku aine ladustamise nõudeid, järgitakse nõuete seadmisel siiski võimaliku tuleohu vähendamist. Ohtlik aine võib oma omaduste tõttu tekitada ka muid ohte, mille vältimise nõue on esitatud näiteks kemikaaliseaduse (edaspidi </w:t>
      </w:r>
      <w:r w:rsidRPr="002A6789">
        <w:rPr>
          <w:i/>
        </w:rPr>
        <w:t>KemS</w:t>
      </w:r>
      <w:r>
        <w:t>) § 8 lõikes 1. Selles on sätestatud, et kemikaali tuleb käidelda inimese elule ja tervisele ning asjale ja keskkonnale ohutult. Mõne ohtliku aine kohta on kehtestatud ka detailsemad nõuded, näiteks ammooniumnitraadile</w:t>
      </w:r>
      <w:r>
        <w:rPr>
          <w:rStyle w:val="FootnoteReference"/>
        </w:rPr>
        <w:footnoteReference w:id="3"/>
      </w:r>
      <w:r>
        <w:t>, küttegaasile, sealhulgas gaasiballoonile ja -anumale</w:t>
      </w:r>
      <w:r>
        <w:rPr>
          <w:rStyle w:val="FootnoteReference"/>
        </w:rPr>
        <w:footnoteReference w:id="4"/>
      </w:r>
      <w:r>
        <w:t xml:space="preserve">, </w:t>
      </w:r>
      <w:proofErr w:type="spellStart"/>
      <w:r>
        <w:t>lõhkematerjalile</w:t>
      </w:r>
      <w:proofErr w:type="spellEnd"/>
      <w:r>
        <w:t xml:space="preserve"> ja pürotehnikale</w:t>
      </w:r>
      <w:r>
        <w:rPr>
          <w:rStyle w:val="FootnoteReference"/>
        </w:rPr>
        <w:footnoteReference w:id="5"/>
      </w:r>
      <w:r>
        <w:t xml:space="preserve"> ning naftasaadustele ja põlevkiviõlile</w:t>
      </w:r>
      <w:r>
        <w:rPr>
          <w:rStyle w:val="FootnoteReference"/>
        </w:rPr>
        <w:footnoteReference w:id="6"/>
      </w:r>
      <w:r>
        <w:t>. Seega võivad ohtlikud ained oma omaduste tõttu tekitada ka muid ohte, kuid eelnõuga kehtestatakse eelkõige nõuded, mis aitavad vähendada tuleohtu.</w:t>
      </w:r>
    </w:p>
    <w:p w14:paraId="6818621C" w14:textId="77777777" w:rsidR="000D0219" w:rsidRPr="00B701C8" w:rsidRDefault="000D0219" w:rsidP="000D0219">
      <w:pPr>
        <w:pStyle w:val="NoSpacing"/>
      </w:pPr>
    </w:p>
    <w:p w14:paraId="5FBCA628" w14:textId="0E095E1D" w:rsidR="009362FE" w:rsidRPr="0070121E" w:rsidRDefault="000D0219" w:rsidP="00832E28">
      <w:pPr>
        <w:pStyle w:val="NoSpacing"/>
        <w:jc w:val="both"/>
        <w:rPr>
          <w:highlight w:val="yellow"/>
        </w:rPr>
      </w:pPr>
      <w:bookmarkStart w:id="6" w:name="_Toc149306194"/>
      <w:r w:rsidRPr="0070121E">
        <w:rPr>
          <w:rStyle w:val="Heading3Char"/>
          <w:highlight w:val="yellow"/>
        </w:rPr>
        <w:t>Eelnõu §-</w:t>
      </w:r>
      <w:r w:rsidR="00EC6DDD">
        <w:rPr>
          <w:rStyle w:val="Heading3Char"/>
          <w:highlight w:val="yellow"/>
        </w:rPr>
        <w:t>ga</w:t>
      </w:r>
      <w:r w:rsidRPr="0070121E">
        <w:rPr>
          <w:rStyle w:val="Heading3Char"/>
          <w:highlight w:val="yellow"/>
        </w:rPr>
        <w:t xml:space="preserve"> 2</w:t>
      </w:r>
      <w:bookmarkEnd w:id="6"/>
      <w:r w:rsidRPr="0070121E">
        <w:rPr>
          <w:highlight w:val="yellow"/>
        </w:rPr>
        <w:t xml:space="preserve"> </w:t>
      </w:r>
      <w:r w:rsidR="009362FE" w:rsidRPr="0070121E">
        <w:rPr>
          <w:highlight w:val="yellow"/>
        </w:rPr>
        <w:t xml:space="preserve">kehtestatakse </w:t>
      </w:r>
      <w:r w:rsidR="00832E28" w:rsidRPr="0070121E">
        <w:rPr>
          <w:highlight w:val="yellow"/>
        </w:rPr>
        <w:t xml:space="preserve">määruse </w:t>
      </w:r>
      <w:r w:rsidR="009362FE" w:rsidRPr="0070121E">
        <w:rPr>
          <w:highlight w:val="yellow"/>
        </w:rPr>
        <w:t>kohaldamisala</w:t>
      </w:r>
      <w:r w:rsidR="003F4A86">
        <w:rPr>
          <w:highlight w:val="yellow"/>
        </w:rPr>
        <w:t xml:space="preserve"> ohtlike ainete ladustamisele</w:t>
      </w:r>
      <w:r w:rsidR="00832E28" w:rsidRPr="0070121E">
        <w:rPr>
          <w:highlight w:val="yellow"/>
        </w:rPr>
        <w:t>, mis on oluline sihtrühma</w:t>
      </w:r>
      <w:r w:rsidR="000E3D2E">
        <w:rPr>
          <w:highlight w:val="yellow"/>
        </w:rPr>
        <w:t xml:space="preserve"> piiritlemiseks</w:t>
      </w:r>
      <w:r w:rsidR="00832E28" w:rsidRPr="0070121E">
        <w:rPr>
          <w:highlight w:val="yellow"/>
        </w:rPr>
        <w:t xml:space="preserve">, kellele määruses esitatud </w:t>
      </w:r>
      <w:r w:rsidR="00EC6DDD">
        <w:rPr>
          <w:highlight w:val="yellow"/>
        </w:rPr>
        <w:t>tuleohutus</w:t>
      </w:r>
      <w:r w:rsidR="00832E28" w:rsidRPr="0070121E">
        <w:rPr>
          <w:highlight w:val="yellow"/>
        </w:rPr>
        <w:t xml:space="preserve">nõuded </w:t>
      </w:r>
      <w:r w:rsidR="000E3D2E">
        <w:rPr>
          <w:highlight w:val="yellow"/>
        </w:rPr>
        <w:t>tuleb</w:t>
      </w:r>
      <w:r w:rsidR="00832E28" w:rsidRPr="0070121E">
        <w:rPr>
          <w:highlight w:val="yellow"/>
        </w:rPr>
        <w:t xml:space="preserve"> täit</w:t>
      </w:r>
      <w:r w:rsidR="000E3D2E">
        <w:rPr>
          <w:highlight w:val="yellow"/>
        </w:rPr>
        <w:t>a</w:t>
      </w:r>
      <w:r w:rsidR="00832E28" w:rsidRPr="0070121E">
        <w:rPr>
          <w:highlight w:val="yellow"/>
        </w:rPr>
        <w:t>. Kuna võrreldes kehtiva määrusega on oluliselt täiendatud ohtlike ainete ladustamise tuleohutusnõudeid, siis sätestatakse just neile kohaldamisala</w:t>
      </w:r>
      <w:r w:rsidR="000E3D2E">
        <w:rPr>
          <w:highlight w:val="yellow"/>
        </w:rPr>
        <w:t>.</w:t>
      </w:r>
      <w:r w:rsidR="00832E28" w:rsidRPr="0070121E">
        <w:rPr>
          <w:highlight w:val="yellow"/>
        </w:rPr>
        <w:t xml:space="preserve"> </w:t>
      </w:r>
      <w:r w:rsidR="000E3D2E">
        <w:rPr>
          <w:highlight w:val="yellow"/>
        </w:rPr>
        <w:t>P</w:t>
      </w:r>
      <w:r w:rsidR="00832E28" w:rsidRPr="0070121E">
        <w:rPr>
          <w:highlight w:val="yellow"/>
        </w:rPr>
        <w:t xml:space="preserve">õlevmaterjali ladustamise </w:t>
      </w:r>
      <w:r w:rsidR="00832E28" w:rsidRPr="0070121E">
        <w:rPr>
          <w:highlight w:val="yellow"/>
        </w:rPr>
        <w:lastRenderedPageBreak/>
        <w:t>nõuded kehtivad juba praegu kõigile</w:t>
      </w:r>
      <w:r w:rsidR="000E3D2E">
        <w:rPr>
          <w:highlight w:val="yellow"/>
        </w:rPr>
        <w:t>,</w:t>
      </w:r>
      <w:r w:rsidR="00832E28" w:rsidRPr="0070121E">
        <w:rPr>
          <w:highlight w:val="yellow"/>
        </w:rPr>
        <w:t xml:space="preserve"> neid on leevendatud</w:t>
      </w:r>
      <w:r w:rsidR="000E3D2E">
        <w:rPr>
          <w:highlight w:val="yellow"/>
        </w:rPr>
        <w:t xml:space="preserve"> ning</w:t>
      </w:r>
      <w:r w:rsidR="00832E28" w:rsidRPr="0070121E">
        <w:rPr>
          <w:highlight w:val="yellow"/>
        </w:rPr>
        <w:t xml:space="preserve"> </w:t>
      </w:r>
      <w:r w:rsidR="000E3D2E">
        <w:rPr>
          <w:highlight w:val="yellow"/>
        </w:rPr>
        <w:t xml:space="preserve">puudub vajadus </w:t>
      </w:r>
      <w:r w:rsidR="003F4A86">
        <w:rPr>
          <w:highlight w:val="yellow"/>
        </w:rPr>
        <w:t xml:space="preserve">selles osas </w:t>
      </w:r>
      <w:r w:rsidR="00832E28" w:rsidRPr="0070121E">
        <w:rPr>
          <w:highlight w:val="yellow"/>
        </w:rPr>
        <w:t xml:space="preserve">kohaldamisala </w:t>
      </w:r>
      <w:r w:rsidR="00BE236E">
        <w:rPr>
          <w:highlight w:val="yellow"/>
        </w:rPr>
        <w:t>täpsustada</w:t>
      </w:r>
      <w:r w:rsidR="00832E28" w:rsidRPr="0070121E">
        <w:rPr>
          <w:highlight w:val="yellow"/>
        </w:rPr>
        <w:t>.</w:t>
      </w:r>
    </w:p>
    <w:p w14:paraId="6DF69278" w14:textId="77777777" w:rsidR="00832E28" w:rsidRPr="0070121E" w:rsidRDefault="00832E28" w:rsidP="005E4491">
      <w:pPr>
        <w:pStyle w:val="NoSpacing"/>
        <w:rPr>
          <w:highlight w:val="yellow"/>
        </w:rPr>
      </w:pPr>
    </w:p>
    <w:p w14:paraId="0C418252" w14:textId="7FD877EB" w:rsidR="005E4491" w:rsidRPr="003F4A86" w:rsidRDefault="00832E28" w:rsidP="003F4A86">
      <w:pPr>
        <w:pStyle w:val="NoSpacing"/>
        <w:jc w:val="both"/>
      </w:pPr>
      <w:r w:rsidRPr="0082499D">
        <w:rPr>
          <w:b/>
          <w:color w:val="0070C0"/>
          <w:highlight w:val="yellow"/>
        </w:rPr>
        <w:t>Lõike 1</w:t>
      </w:r>
      <w:r w:rsidRPr="0082499D">
        <w:rPr>
          <w:bCs/>
          <w:highlight w:val="yellow"/>
        </w:rPr>
        <w:t xml:space="preserve"> kohaselt ei kohaldu mä</w:t>
      </w:r>
      <w:r w:rsidR="005E4491" w:rsidRPr="0082499D">
        <w:rPr>
          <w:highlight w:val="yellow"/>
        </w:rPr>
        <w:t xml:space="preserve">äruses sätestatud ohtliku aine ladustamise tuleohutusnõuded </w:t>
      </w:r>
      <w:r w:rsidR="00915D4E" w:rsidRPr="0082499D">
        <w:rPr>
          <w:highlight w:val="yellow"/>
        </w:rPr>
        <w:t xml:space="preserve">kodumajapidamisele ja </w:t>
      </w:r>
      <w:proofErr w:type="spellStart"/>
      <w:r w:rsidR="00915D4E" w:rsidRPr="0082499D">
        <w:rPr>
          <w:highlight w:val="yellow"/>
        </w:rPr>
        <w:t>jaemüüjale</w:t>
      </w:r>
      <w:proofErr w:type="spellEnd"/>
      <w:r w:rsidR="00915D4E" w:rsidRPr="0082499D">
        <w:rPr>
          <w:highlight w:val="yellow"/>
        </w:rPr>
        <w:t>, sealhulgas ka jaemüügipakendis kaubale</w:t>
      </w:r>
      <w:r w:rsidR="005E4491" w:rsidRPr="0082499D">
        <w:rPr>
          <w:highlight w:val="yellow"/>
        </w:rPr>
        <w:t xml:space="preserve">. </w:t>
      </w:r>
      <w:r w:rsidRPr="0082499D">
        <w:rPr>
          <w:highlight w:val="yellow"/>
        </w:rPr>
        <w:t xml:space="preserve">See tähendab, et määruses kehtestatud ohtlike ainete ladustamise nõudeid ei pea järgima </w:t>
      </w:r>
      <w:r w:rsidR="003F4A86" w:rsidRPr="0082499D">
        <w:rPr>
          <w:highlight w:val="yellow"/>
        </w:rPr>
        <w:t xml:space="preserve">korteris, eramajas ehk eluhoones tervikuna või elamiseks kasutatavas hoone osas </w:t>
      </w:r>
      <w:r w:rsidRPr="0082499D">
        <w:rPr>
          <w:highlight w:val="yellow"/>
        </w:rPr>
        <w:t>ning poodides tavakasutuseks mõeldud ohtlike ainete ladustamisel. Kindlasti tule</w:t>
      </w:r>
      <w:r w:rsidR="000E3D2E" w:rsidRPr="0082499D">
        <w:rPr>
          <w:highlight w:val="yellow"/>
        </w:rPr>
        <w:t>b</w:t>
      </w:r>
      <w:r w:rsidRPr="0082499D">
        <w:rPr>
          <w:highlight w:val="yellow"/>
        </w:rPr>
        <w:t xml:space="preserve"> ka sellistel puhkudel järgida elementaarseid ohutusnõudeid, et oleks tagatud eelkõige ainete kättesaamatus lastele ning </w:t>
      </w:r>
      <w:r w:rsidR="00915D4E" w:rsidRPr="0082499D">
        <w:rPr>
          <w:highlight w:val="yellow"/>
        </w:rPr>
        <w:t xml:space="preserve">välistatud võimalikud </w:t>
      </w:r>
      <w:r w:rsidRPr="0082499D">
        <w:rPr>
          <w:highlight w:val="yellow"/>
        </w:rPr>
        <w:t xml:space="preserve">taara </w:t>
      </w:r>
      <w:r w:rsidR="00915D4E" w:rsidRPr="0082499D">
        <w:rPr>
          <w:highlight w:val="yellow"/>
        </w:rPr>
        <w:t>lekked</w:t>
      </w:r>
      <w:r w:rsidR="0031347D" w:rsidRPr="0082499D">
        <w:rPr>
          <w:highlight w:val="yellow"/>
        </w:rPr>
        <w:t xml:space="preserve"> </w:t>
      </w:r>
      <w:r w:rsidR="00084266" w:rsidRPr="0082499D">
        <w:rPr>
          <w:highlight w:val="yellow"/>
        </w:rPr>
        <w:t>ja</w:t>
      </w:r>
      <w:r w:rsidR="0031347D" w:rsidRPr="0082499D">
        <w:rPr>
          <w:highlight w:val="yellow"/>
        </w:rPr>
        <w:t xml:space="preserve"> seeläbi ohtlike ainete segunemi</w:t>
      </w:r>
      <w:r w:rsidR="00E4454D" w:rsidRPr="0082499D">
        <w:rPr>
          <w:highlight w:val="yellow"/>
        </w:rPr>
        <w:t>ne</w:t>
      </w:r>
      <w:r w:rsidR="0031347D" w:rsidRPr="0082499D">
        <w:rPr>
          <w:highlight w:val="yellow"/>
        </w:rPr>
        <w:t>, millest tingituna võib tekkida lisaoht</w:t>
      </w:r>
      <w:r w:rsidRPr="0082499D">
        <w:rPr>
          <w:highlight w:val="yellow"/>
        </w:rPr>
        <w:t xml:space="preserve">. </w:t>
      </w:r>
      <w:r w:rsidR="003F4A86" w:rsidRPr="0082499D">
        <w:rPr>
          <w:highlight w:val="yellow"/>
        </w:rPr>
        <w:t>Hulgimüü</w:t>
      </w:r>
      <w:r w:rsidR="005D0558" w:rsidRPr="0082499D">
        <w:rPr>
          <w:highlight w:val="yellow"/>
        </w:rPr>
        <w:t>ja</w:t>
      </w:r>
      <w:r w:rsidR="003F4A86" w:rsidRPr="0082499D">
        <w:rPr>
          <w:highlight w:val="yellow"/>
        </w:rPr>
        <w:t xml:space="preserve"> ja </w:t>
      </w:r>
      <w:proofErr w:type="spellStart"/>
      <w:r w:rsidR="003F4A86" w:rsidRPr="0082499D">
        <w:rPr>
          <w:highlight w:val="yellow"/>
        </w:rPr>
        <w:t>jaemüü</w:t>
      </w:r>
      <w:r w:rsidR="005D0558" w:rsidRPr="0082499D">
        <w:rPr>
          <w:highlight w:val="yellow"/>
        </w:rPr>
        <w:t>ja</w:t>
      </w:r>
      <w:proofErr w:type="spellEnd"/>
      <w:r w:rsidR="003F4A86" w:rsidRPr="0082499D">
        <w:rPr>
          <w:highlight w:val="yellow"/>
        </w:rPr>
        <w:t xml:space="preserve"> mõisted on määratlemata õigusmõisted. Praktikas, sh majandustegevuse registris on mõisted kasutusel. Hulgimüüja on eelkõige teisele ettevõtjale müüki teostav ettevõtja, seevastu </w:t>
      </w:r>
      <w:proofErr w:type="spellStart"/>
      <w:r w:rsidR="003F4A86" w:rsidRPr="0082499D">
        <w:rPr>
          <w:highlight w:val="yellow"/>
        </w:rPr>
        <w:t>jaemüüja</w:t>
      </w:r>
      <w:proofErr w:type="spellEnd"/>
      <w:r w:rsidR="003F4A86" w:rsidRPr="0082499D">
        <w:rPr>
          <w:highlight w:val="yellow"/>
        </w:rPr>
        <w:t xml:space="preserve"> tegeleb müügiga tarbijale tarbijakaitseseaduse </w:t>
      </w:r>
      <w:r w:rsidR="00961D1A" w:rsidRPr="0082499D">
        <w:rPr>
          <w:highlight w:val="yellow"/>
        </w:rPr>
        <w:t xml:space="preserve">§ 2 lõike 1 punkti 1 </w:t>
      </w:r>
      <w:r w:rsidR="003F4A86" w:rsidRPr="0082499D">
        <w:rPr>
          <w:highlight w:val="yellow"/>
        </w:rPr>
        <w:t>mõistes.</w:t>
      </w:r>
      <w:r w:rsidR="003F4A86">
        <w:t xml:space="preserve"> </w:t>
      </w:r>
    </w:p>
    <w:p w14:paraId="483131A5" w14:textId="77777777" w:rsidR="005E4491" w:rsidRPr="0070121E" w:rsidRDefault="005E4491" w:rsidP="00832E28">
      <w:pPr>
        <w:pStyle w:val="NoSpacing"/>
        <w:jc w:val="both"/>
        <w:rPr>
          <w:highlight w:val="yellow"/>
        </w:rPr>
      </w:pPr>
    </w:p>
    <w:p w14:paraId="1A051C7A" w14:textId="718AB373" w:rsidR="007B1437" w:rsidRPr="007B1437" w:rsidRDefault="00832E28" w:rsidP="00832E28">
      <w:pPr>
        <w:pStyle w:val="NoSpacing"/>
        <w:jc w:val="both"/>
        <w:rPr>
          <w:highlight w:val="yellow"/>
        </w:rPr>
      </w:pPr>
      <w:r w:rsidRPr="0070121E">
        <w:rPr>
          <w:b/>
          <w:color w:val="0070C0"/>
          <w:highlight w:val="yellow"/>
        </w:rPr>
        <w:t>Lõike 2</w:t>
      </w:r>
      <w:r w:rsidRPr="0070121E">
        <w:rPr>
          <w:bCs/>
          <w:highlight w:val="yellow"/>
        </w:rPr>
        <w:t xml:space="preserve"> kohaselt pea</w:t>
      </w:r>
      <w:r w:rsidR="001E177B">
        <w:rPr>
          <w:bCs/>
          <w:highlight w:val="yellow"/>
        </w:rPr>
        <w:t>b</w:t>
      </w:r>
      <w:r w:rsidRPr="0070121E">
        <w:rPr>
          <w:bCs/>
          <w:highlight w:val="yellow"/>
        </w:rPr>
        <w:t xml:space="preserve"> l</w:t>
      </w:r>
      <w:r w:rsidR="005E4491" w:rsidRPr="0070121E">
        <w:rPr>
          <w:highlight w:val="yellow"/>
        </w:rPr>
        <w:t>õikes 1</w:t>
      </w:r>
      <w:r w:rsidR="00E4454D">
        <w:rPr>
          <w:highlight w:val="yellow"/>
        </w:rPr>
        <w:t xml:space="preserve"> nimetamata ohtliku aine</w:t>
      </w:r>
      <w:r w:rsidR="005E4491" w:rsidRPr="0070121E">
        <w:rPr>
          <w:highlight w:val="yellow"/>
        </w:rPr>
        <w:t xml:space="preserve"> </w:t>
      </w:r>
      <w:proofErr w:type="spellStart"/>
      <w:r w:rsidR="00E4454D" w:rsidRPr="00D9260A">
        <w:rPr>
          <w:rFonts w:cs="Times New Roman"/>
          <w:bCs/>
          <w:color w:val="000000"/>
          <w:highlight w:val="yellow"/>
        </w:rPr>
        <w:t>ladustaja</w:t>
      </w:r>
      <w:proofErr w:type="spellEnd"/>
      <w:r w:rsidR="00E4454D" w:rsidRPr="00D9260A">
        <w:rPr>
          <w:rFonts w:cs="Times New Roman"/>
          <w:bCs/>
          <w:color w:val="000000"/>
          <w:highlight w:val="yellow"/>
        </w:rPr>
        <w:t>, kes oma tegevuses pea</w:t>
      </w:r>
      <w:r w:rsidR="00E4454D">
        <w:rPr>
          <w:rFonts w:cs="Times New Roman"/>
          <w:bCs/>
          <w:color w:val="000000"/>
          <w:highlight w:val="yellow"/>
        </w:rPr>
        <w:t>b</w:t>
      </w:r>
      <w:r w:rsidR="00E4454D" w:rsidRPr="00D9260A">
        <w:rPr>
          <w:rFonts w:cs="Times New Roman"/>
          <w:bCs/>
          <w:color w:val="000000"/>
          <w:highlight w:val="yellow"/>
        </w:rPr>
        <w:t xml:space="preserve"> </w:t>
      </w:r>
      <w:r w:rsidR="00E4454D">
        <w:rPr>
          <w:rFonts w:cs="Times New Roman"/>
          <w:bCs/>
          <w:color w:val="000000"/>
          <w:highlight w:val="yellow"/>
        </w:rPr>
        <w:t xml:space="preserve">KemS </w:t>
      </w:r>
      <w:r w:rsidR="00E4454D" w:rsidRPr="00D9260A">
        <w:rPr>
          <w:rFonts w:cs="Times New Roman"/>
          <w:bCs/>
          <w:color w:val="000000"/>
          <w:highlight w:val="yellow"/>
        </w:rPr>
        <w:t xml:space="preserve">§ 8 lõike 1 </w:t>
      </w:r>
      <w:r w:rsidR="00E4454D" w:rsidRPr="00D9260A">
        <w:rPr>
          <w:rFonts w:cs="Times New Roman"/>
          <w:bCs/>
          <w:color w:val="000000"/>
          <w:highlight w:val="yellow"/>
        </w:rPr>
        <w:t>kohaselt kemikaali käitlema inimese elule ja tervisele ning asjale ja keskkonnale ohutult, igakordselt hindama enda poolt käideldava aine kogusest ja omadustest tulenevaid ohte ning ohu hinnangu</w:t>
      </w:r>
      <w:r w:rsidR="00E4454D">
        <w:rPr>
          <w:rFonts w:cs="Times New Roman"/>
          <w:bCs/>
          <w:color w:val="000000"/>
          <w:highlight w:val="yellow"/>
        </w:rPr>
        <w:t>t arvestades lähtuma</w:t>
      </w:r>
      <w:r w:rsidR="00E4454D" w:rsidRPr="00D9260A">
        <w:rPr>
          <w:rFonts w:cs="Times New Roman"/>
          <w:bCs/>
          <w:color w:val="000000"/>
          <w:highlight w:val="yellow"/>
        </w:rPr>
        <w:t xml:space="preserve"> ohtlik</w:t>
      </w:r>
      <w:r w:rsidR="00E4454D">
        <w:rPr>
          <w:rFonts w:cs="Times New Roman"/>
          <w:bCs/>
          <w:color w:val="000000"/>
          <w:highlight w:val="yellow"/>
        </w:rPr>
        <w:t>u</w:t>
      </w:r>
      <w:r w:rsidR="00E4454D" w:rsidRPr="00D9260A">
        <w:rPr>
          <w:rFonts w:cs="Times New Roman"/>
          <w:bCs/>
          <w:color w:val="000000"/>
          <w:highlight w:val="yellow"/>
        </w:rPr>
        <w:t xml:space="preserve"> aine ladustamisel käesoleva</w:t>
      </w:r>
      <w:r w:rsidR="00E4454D">
        <w:rPr>
          <w:rFonts w:cs="Times New Roman"/>
          <w:bCs/>
          <w:color w:val="000000"/>
          <w:highlight w:val="yellow"/>
        </w:rPr>
        <w:t>st</w:t>
      </w:r>
      <w:r w:rsidR="00E4454D" w:rsidRPr="00D9260A">
        <w:rPr>
          <w:rFonts w:cs="Times New Roman"/>
          <w:bCs/>
          <w:color w:val="000000"/>
          <w:highlight w:val="yellow"/>
        </w:rPr>
        <w:t xml:space="preserve"> määruse</w:t>
      </w:r>
      <w:r w:rsidR="00E4454D">
        <w:rPr>
          <w:rFonts w:cs="Times New Roman"/>
          <w:bCs/>
          <w:color w:val="000000"/>
          <w:highlight w:val="yellow"/>
        </w:rPr>
        <w:t xml:space="preserve">st. </w:t>
      </w:r>
      <w:r w:rsidRPr="0070121E">
        <w:rPr>
          <w:highlight w:val="yellow"/>
        </w:rPr>
        <w:t xml:space="preserve">Selline määratlus võib tunduda uudne ja mõnel juhul ka ebamäärane, kuid </w:t>
      </w:r>
      <w:r w:rsidR="00961D1A">
        <w:rPr>
          <w:highlight w:val="yellow"/>
        </w:rPr>
        <w:t>regulatsiooni eesmärk</w:t>
      </w:r>
      <w:r w:rsidR="00961D1A" w:rsidRPr="0070121E">
        <w:rPr>
          <w:highlight w:val="yellow"/>
        </w:rPr>
        <w:t xml:space="preserve"> </w:t>
      </w:r>
      <w:r w:rsidRPr="0070121E">
        <w:rPr>
          <w:highlight w:val="yellow"/>
        </w:rPr>
        <w:t xml:space="preserve">on selles, et kui ladustatavat ohtlikku ainet või aine gruppi on siiski koguseliselt nii palju, et selle vale ladustamine võib kaasa tuua </w:t>
      </w:r>
      <w:r w:rsidR="0070121E" w:rsidRPr="0070121E">
        <w:rPr>
          <w:highlight w:val="yellow"/>
        </w:rPr>
        <w:t>õnnetuse, peaks järgima määruse</w:t>
      </w:r>
      <w:r w:rsidR="00961D1A">
        <w:rPr>
          <w:highlight w:val="yellow"/>
        </w:rPr>
        <w:t>ga kehtestatud</w:t>
      </w:r>
      <w:r w:rsidR="0070121E" w:rsidRPr="0070121E">
        <w:rPr>
          <w:highlight w:val="yellow"/>
        </w:rPr>
        <w:t xml:space="preserve"> nõudeid. </w:t>
      </w:r>
      <w:r w:rsidR="007B1437">
        <w:rPr>
          <w:highlight w:val="yellow"/>
        </w:rPr>
        <w:t xml:space="preserve">Kui kemikaaliseadust järgiv ettevõte on leidnud, et </w:t>
      </w:r>
      <w:proofErr w:type="spellStart"/>
      <w:r w:rsidR="000420B4">
        <w:rPr>
          <w:highlight w:val="yellow"/>
        </w:rPr>
        <w:t>KemS-i</w:t>
      </w:r>
      <w:r w:rsidR="00961D1A">
        <w:rPr>
          <w:highlight w:val="yellow"/>
        </w:rPr>
        <w:t>s</w:t>
      </w:r>
      <w:proofErr w:type="spellEnd"/>
      <w:r w:rsidR="000420B4" w:rsidRPr="0070121E">
        <w:rPr>
          <w:highlight w:val="yellow"/>
        </w:rPr>
        <w:t xml:space="preserve"> ja selle rakendusaktides ei ole piisavalt ohutusnõudeid kemikaali käitlemiseks, saab ohtlike ainete ladustamisel juhinduda </w:t>
      </w:r>
      <w:r w:rsidR="000420B4">
        <w:rPr>
          <w:highlight w:val="yellow"/>
        </w:rPr>
        <w:t xml:space="preserve">käesolevast </w:t>
      </w:r>
      <w:r w:rsidR="000420B4" w:rsidRPr="0070121E">
        <w:rPr>
          <w:highlight w:val="yellow"/>
        </w:rPr>
        <w:t>määrusest.</w:t>
      </w:r>
      <w:r w:rsidR="007B1437">
        <w:rPr>
          <w:highlight w:val="yellow"/>
        </w:rPr>
        <w:t xml:space="preserve"> Samuti saab Päästeamet viidata määruse</w:t>
      </w:r>
      <w:r w:rsidR="00961D1A">
        <w:rPr>
          <w:highlight w:val="yellow"/>
        </w:rPr>
        <w:t>ga kehtestatud</w:t>
      </w:r>
      <w:r w:rsidR="007B1437">
        <w:rPr>
          <w:highlight w:val="yellow"/>
        </w:rPr>
        <w:t xml:space="preserve"> nõuete</w:t>
      </w:r>
      <w:r w:rsidR="00BE236E">
        <w:rPr>
          <w:highlight w:val="yellow"/>
        </w:rPr>
        <w:t>le</w:t>
      </w:r>
      <w:r w:rsidR="007B1437">
        <w:rPr>
          <w:highlight w:val="yellow"/>
        </w:rPr>
        <w:t>, kui ettevõte ilmselgelt ei taga ohtlike ainete ladustamisel tuleohutust. Praegu saab ladustamise aluseks võtta ka ohtlike ainete ohutuskaardid</w:t>
      </w:r>
      <w:r w:rsidR="00961D1A">
        <w:rPr>
          <w:highlight w:val="yellow"/>
        </w:rPr>
        <w:t>.</w:t>
      </w:r>
      <w:r w:rsidR="007B1437">
        <w:rPr>
          <w:highlight w:val="yellow"/>
        </w:rPr>
        <w:t xml:space="preserve"> </w:t>
      </w:r>
      <w:r w:rsidR="00961D1A">
        <w:rPr>
          <w:highlight w:val="yellow"/>
        </w:rPr>
        <w:t>N</w:t>
      </w:r>
      <w:r w:rsidR="007B1437">
        <w:rPr>
          <w:highlight w:val="yellow"/>
        </w:rPr>
        <w:t xml:space="preserve">äiteks on </w:t>
      </w:r>
      <w:r w:rsidR="00961D1A">
        <w:rPr>
          <w:highlight w:val="yellow"/>
        </w:rPr>
        <w:t xml:space="preserve">eelnõu koostajad tutvunud </w:t>
      </w:r>
      <w:r w:rsidR="007B1437">
        <w:rPr>
          <w:highlight w:val="yellow"/>
        </w:rPr>
        <w:t>ohutuskaardi</w:t>
      </w:r>
      <w:r w:rsidR="00961D1A">
        <w:rPr>
          <w:highlight w:val="yellow"/>
        </w:rPr>
        <w:t>ga, millel on järgmine</w:t>
      </w:r>
      <w:r w:rsidR="00961D1A" w:rsidDel="00961D1A">
        <w:rPr>
          <w:highlight w:val="yellow"/>
        </w:rPr>
        <w:t xml:space="preserve"> </w:t>
      </w:r>
      <w:r w:rsidR="007B1437">
        <w:rPr>
          <w:highlight w:val="yellow"/>
        </w:rPr>
        <w:t xml:space="preserve">tekst: </w:t>
      </w:r>
      <w:r w:rsidR="007B1437" w:rsidRPr="007B1437">
        <w:rPr>
          <w:i/>
          <w:iCs/>
          <w:highlight w:val="yellow"/>
        </w:rPr>
        <w:t>Tuleohtlike vedelike ladu. Hoida vastavalt kohaliku omavalitsuse eeskirjadele. Ladustada piiristatud ja kogumisvahenditega varustatud aias, et hoida ära pääsemine kraavidesse ja/või vooluveekogudesse. Hoida ainult korralikult märgistatud mahutites. Kasutada järgmistest materjalidest tehtud mahuteid: Madalsüsinikteras. Roostevaba teras.</w:t>
      </w:r>
      <w:r w:rsidR="007B1437">
        <w:rPr>
          <w:i/>
          <w:iCs/>
          <w:highlight w:val="yellow"/>
        </w:rPr>
        <w:t xml:space="preserve"> </w:t>
      </w:r>
      <w:r w:rsidR="00BE236E" w:rsidRPr="0082499D">
        <w:rPr>
          <w:highlight w:val="yellow"/>
        </w:rPr>
        <w:t xml:space="preserve">Kui </w:t>
      </w:r>
      <w:r w:rsidR="00BE236E">
        <w:rPr>
          <w:highlight w:val="yellow"/>
        </w:rPr>
        <w:t>püüda sell</w:t>
      </w:r>
      <w:r w:rsidR="00961D1A">
        <w:rPr>
          <w:highlight w:val="yellow"/>
        </w:rPr>
        <w:t>ise</w:t>
      </w:r>
      <w:r w:rsidR="00BE236E">
        <w:rPr>
          <w:highlight w:val="yellow"/>
        </w:rPr>
        <w:t xml:space="preserve"> ohutuskaardi järgi tuleohtlikku vedelikku ladustada, siis eelkõige oleks vaja </w:t>
      </w:r>
      <w:r w:rsidR="00BE236E" w:rsidRPr="0082499D">
        <w:rPr>
          <w:highlight w:val="yellow"/>
        </w:rPr>
        <w:t>kohaliku omavalitsuse eeskir</w:t>
      </w:r>
      <w:r w:rsidR="00BE236E">
        <w:rPr>
          <w:highlight w:val="yellow"/>
        </w:rPr>
        <w:t xml:space="preserve">ja, millest </w:t>
      </w:r>
      <w:r w:rsidR="00BE236E" w:rsidRPr="0082499D">
        <w:rPr>
          <w:highlight w:val="yellow"/>
        </w:rPr>
        <w:t>lähtuda</w:t>
      </w:r>
      <w:r w:rsidR="00BE236E">
        <w:rPr>
          <w:highlight w:val="yellow"/>
        </w:rPr>
        <w:t xml:space="preserve">. Kui seda pole, siis viidatud ohutuskaardi järgi tuleb jälgida vaid </w:t>
      </w:r>
      <w:r w:rsidR="00961D1A">
        <w:rPr>
          <w:highlight w:val="yellow"/>
        </w:rPr>
        <w:t xml:space="preserve">seda, et </w:t>
      </w:r>
      <w:r w:rsidR="00BE236E">
        <w:rPr>
          <w:highlight w:val="yellow"/>
        </w:rPr>
        <w:t>tuleohtlik vedelik</w:t>
      </w:r>
      <w:r w:rsidR="00961D1A">
        <w:rPr>
          <w:highlight w:val="yellow"/>
        </w:rPr>
        <w:t xml:space="preserve"> ei</w:t>
      </w:r>
      <w:r w:rsidR="00BE236E">
        <w:rPr>
          <w:highlight w:val="yellow"/>
        </w:rPr>
        <w:t xml:space="preserve"> sat</w:t>
      </w:r>
      <w:r w:rsidR="00961D1A">
        <w:rPr>
          <w:highlight w:val="yellow"/>
        </w:rPr>
        <w:t>uks</w:t>
      </w:r>
      <w:r w:rsidR="00BE236E">
        <w:rPr>
          <w:highlight w:val="yellow"/>
        </w:rPr>
        <w:t xml:space="preserve"> kraavidesse või vooluveekogudesse</w:t>
      </w:r>
      <w:r w:rsidR="00961D1A">
        <w:rPr>
          <w:highlight w:val="yellow"/>
        </w:rPr>
        <w:t>. Samuti</w:t>
      </w:r>
      <w:r w:rsidR="00BE236E">
        <w:rPr>
          <w:highlight w:val="yellow"/>
        </w:rPr>
        <w:t xml:space="preserve"> </w:t>
      </w:r>
      <w:r w:rsidR="00961D1A">
        <w:rPr>
          <w:highlight w:val="yellow"/>
        </w:rPr>
        <w:t xml:space="preserve">peavad antud näite kohaselt </w:t>
      </w:r>
      <w:r w:rsidR="00BE236E">
        <w:rPr>
          <w:highlight w:val="yellow"/>
        </w:rPr>
        <w:t>terasest mahutid olema korralikult märgistatud, aga milliste märkidega, seda pole öeldud.</w:t>
      </w:r>
      <w:r w:rsidR="007343CF">
        <w:rPr>
          <w:highlight w:val="yellow"/>
        </w:rPr>
        <w:t xml:space="preserve"> Seega, kui ettevõte vajab siiski ohtlike ainete ohutuks ladustamiseks </w:t>
      </w:r>
      <w:r w:rsidR="00961D1A">
        <w:rPr>
          <w:highlight w:val="yellow"/>
        </w:rPr>
        <w:t>tule</w:t>
      </w:r>
      <w:r w:rsidR="007343CF">
        <w:rPr>
          <w:highlight w:val="yellow"/>
        </w:rPr>
        <w:t>ohutusnõudeid, saab ta, hinnates asjaolusid, aluseks võtta ka käesoleva määruse.</w:t>
      </w:r>
    </w:p>
    <w:p w14:paraId="26AE0B29" w14:textId="77777777" w:rsidR="007B1437" w:rsidRDefault="007B1437" w:rsidP="00832E28">
      <w:pPr>
        <w:pStyle w:val="NoSpacing"/>
        <w:jc w:val="both"/>
        <w:rPr>
          <w:highlight w:val="yellow"/>
        </w:rPr>
      </w:pPr>
    </w:p>
    <w:p w14:paraId="6CDD2D80" w14:textId="711346F3" w:rsidR="000420B4" w:rsidRDefault="000420B4" w:rsidP="00832E28">
      <w:pPr>
        <w:pStyle w:val="NoSpacing"/>
        <w:jc w:val="both"/>
        <w:rPr>
          <w:highlight w:val="yellow"/>
        </w:rPr>
      </w:pPr>
      <w:proofErr w:type="spellStart"/>
      <w:r>
        <w:rPr>
          <w:highlight w:val="yellow"/>
        </w:rPr>
        <w:t>KemS</w:t>
      </w:r>
      <w:proofErr w:type="spellEnd"/>
      <w:r>
        <w:rPr>
          <w:highlight w:val="yellow"/>
        </w:rPr>
        <w:t xml:space="preserve">-i </w:t>
      </w:r>
      <w:r w:rsidRPr="0070121E">
        <w:rPr>
          <w:highlight w:val="yellow"/>
        </w:rPr>
        <w:t xml:space="preserve">sätete kohaselt peavad kõik, kes vähegi kemikaaliga kokku puutuvad järgima </w:t>
      </w:r>
      <w:r>
        <w:rPr>
          <w:highlight w:val="yellow"/>
        </w:rPr>
        <w:t>KemS-i</w:t>
      </w:r>
      <w:r w:rsidRPr="0070121E">
        <w:rPr>
          <w:highlight w:val="yellow"/>
        </w:rPr>
        <w:t xml:space="preserve"> nõudeid, sh ohutusnõudeid. Ja kui ettevõtjad on siiani järginud kehtiva määruse lisa </w:t>
      </w:r>
      <w:r>
        <w:rPr>
          <w:highlight w:val="yellow"/>
        </w:rPr>
        <w:t>2</w:t>
      </w:r>
      <w:r w:rsidRPr="0070121E">
        <w:rPr>
          <w:highlight w:val="yellow"/>
        </w:rPr>
        <w:t xml:space="preserve"> ladustamise nõudeid, siis on kindlasti asjakohane võtta aluseks </w:t>
      </w:r>
      <w:r>
        <w:rPr>
          <w:highlight w:val="yellow"/>
        </w:rPr>
        <w:t>käesoleva</w:t>
      </w:r>
      <w:r w:rsidRPr="0070121E">
        <w:rPr>
          <w:highlight w:val="yellow"/>
        </w:rPr>
        <w:t xml:space="preserve"> määruse uuendatud nõuded.</w:t>
      </w:r>
    </w:p>
    <w:p w14:paraId="0EED8B6C" w14:textId="77777777" w:rsidR="000420B4" w:rsidRDefault="000420B4" w:rsidP="00832E28">
      <w:pPr>
        <w:pStyle w:val="NoSpacing"/>
        <w:jc w:val="both"/>
        <w:rPr>
          <w:highlight w:val="yellow"/>
        </w:rPr>
      </w:pPr>
    </w:p>
    <w:p w14:paraId="24956498" w14:textId="694387EA" w:rsidR="00E4454D" w:rsidRDefault="00E4454D" w:rsidP="00832E28">
      <w:pPr>
        <w:pStyle w:val="NoSpacing"/>
        <w:jc w:val="both"/>
      </w:pPr>
      <w:r w:rsidRPr="0070121E">
        <w:rPr>
          <w:highlight w:val="yellow"/>
        </w:rPr>
        <w:t>Kem</w:t>
      </w:r>
      <w:r>
        <w:rPr>
          <w:highlight w:val="yellow"/>
        </w:rPr>
        <w:t>S</w:t>
      </w:r>
      <w:r w:rsidRPr="0070121E">
        <w:rPr>
          <w:highlight w:val="yellow"/>
        </w:rPr>
        <w:t xml:space="preserve"> </w:t>
      </w:r>
      <w:r w:rsidR="0070121E" w:rsidRPr="0070121E">
        <w:rPr>
          <w:highlight w:val="yellow"/>
        </w:rPr>
        <w:t xml:space="preserve">§ 3 lg 3 sätestab, et kemikaali käitlemine on kemikaali valmistamine, tootmine, töötlemine, pakendamine, </w:t>
      </w:r>
      <w:r w:rsidR="0070121E" w:rsidRPr="0070121E">
        <w:rPr>
          <w:highlight w:val="yellow"/>
          <w:u w:val="single"/>
        </w:rPr>
        <w:t>hoidmine</w:t>
      </w:r>
      <w:r w:rsidR="0070121E" w:rsidRPr="0070121E">
        <w:rPr>
          <w:highlight w:val="yellow"/>
        </w:rPr>
        <w:t xml:space="preserve">, vedamine, kättesaadavaks tegemine ja kemikaaliga seonduv muu tegevus – see tähendab, et kui kemikaali hoitakse </w:t>
      </w:r>
      <w:proofErr w:type="spellStart"/>
      <w:r>
        <w:rPr>
          <w:highlight w:val="yellow"/>
        </w:rPr>
        <w:t>KemS</w:t>
      </w:r>
      <w:proofErr w:type="spellEnd"/>
      <w:r>
        <w:rPr>
          <w:highlight w:val="yellow"/>
        </w:rPr>
        <w:t>-i</w:t>
      </w:r>
      <w:r w:rsidRPr="0070121E">
        <w:rPr>
          <w:highlight w:val="yellow"/>
        </w:rPr>
        <w:t xml:space="preserve"> </w:t>
      </w:r>
      <w:r w:rsidR="0070121E" w:rsidRPr="0070121E">
        <w:rPr>
          <w:highlight w:val="yellow"/>
        </w:rPr>
        <w:t>tähenduses</w:t>
      </w:r>
      <w:r w:rsidR="00961D1A">
        <w:rPr>
          <w:highlight w:val="yellow"/>
        </w:rPr>
        <w:t>,</w:t>
      </w:r>
      <w:r w:rsidR="0070121E" w:rsidRPr="0070121E">
        <w:rPr>
          <w:highlight w:val="yellow"/>
        </w:rPr>
        <w:t xml:space="preserve"> tuleks järgida </w:t>
      </w:r>
      <w:r w:rsidR="00915D4E">
        <w:rPr>
          <w:highlight w:val="yellow"/>
        </w:rPr>
        <w:t xml:space="preserve">käesoleva </w:t>
      </w:r>
      <w:r w:rsidR="0070121E" w:rsidRPr="0070121E">
        <w:rPr>
          <w:highlight w:val="yellow"/>
        </w:rPr>
        <w:t xml:space="preserve">määruse nõudeid. </w:t>
      </w:r>
      <w:r w:rsidRPr="001E177B">
        <w:rPr>
          <w:highlight w:val="yellow"/>
        </w:rPr>
        <w:t>Ladustamisena mõistetakse eelkõige KemS § 3 lõike 3</w:t>
      </w:r>
      <w:r w:rsidR="00307A9F" w:rsidRPr="001E177B">
        <w:rPr>
          <w:highlight w:val="yellow"/>
        </w:rPr>
        <w:t xml:space="preserve"> tähenduses kemikaali käitlemise mõiste alla kuuluvat kemikaali hoidmist.</w:t>
      </w:r>
    </w:p>
    <w:p w14:paraId="0D72A55A" w14:textId="77777777" w:rsidR="009362FE" w:rsidRDefault="009362FE" w:rsidP="000D0219">
      <w:pPr>
        <w:pStyle w:val="NoSpacing"/>
      </w:pPr>
    </w:p>
    <w:p w14:paraId="64B7B82C" w14:textId="0AA1219A" w:rsidR="00832E28" w:rsidRDefault="00832E28" w:rsidP="000D0219">
      <w:pPr>
        <w:pStyle w:val="NoSpacing"/>
        <w:jc w:val="both"/>
        <w:rPr>
          <w:rStyle w:val="Heading3Char"/>
        </w:rPr>
      </w:pPr>
      <w:r w:rsidRPr="00BE6E18">
        <w:rPr>
          <w:rStyle w:val="Heading3Char"/>
        </w:rPr>
        <w:lastRenderedPageBreak/>
        <w:t xml:space="preserve">Eelnõu §-s </w:t>
      </w:r>
      <w:r>
        <w:rPr>
          <w:rStyle w:val="Heading3Char"/>
        </w:rPr>
        <w:t>3 selgitatakse kasutatavaid termineid</w:t>
      </w:r>
    </w:p>
    <w:p w14:paraId="34580B77" w14:textId="77777777" w:rsidR="00832E28" w:rsidRDefault="00832E28" w:rsidP="000D0219">
      <w:pPr>
        <w:pStyle w:val="NoSpacing"/>
        <w:jc w:val="both"/>
        <w:rPr>
          <w:b/>
          <w:color w:val="0070C0"/>
        </w:rPr>
      </w:pPr>
    </w:p>
    <w:p w14:paraId="1BF09410" w14:textId="10709E47" w:rsidR="000D0219" w:rsidRPr="00B701C8" w:rsidRDefault="000D0219" w:rsidP="000D0219">
      <w:pPr>
        <w:pStyle w:val="NoSpacing"/>
        <w:jc w:val="both"/>
      </w:pPr>
      <w:bookmarkStart w:id="7" w:name="_Hlk156385868"/>
      <w:r w:rsidRPr="00240B71">
        <w:rPr>
          <w:b/>
          <w:color w:val="0070C0"/>
        </w:rPr>
        <w:t>Lõike 1</w:t>
      </w:r>
      <w:r w:rsidRPr="00656F90">
        <w:rPr>
          <w:bCs/>
        </w:rPr>
        <w:t xml:space="preserve"> </w:t>
      </w:r>
      <w:bookmarkEnd w:id="7"/>
      <w:r w:rsidRPr="00656F90">
        <w:rPr>
          <w:bCs/>
        </w:rPr>
        <w:t xml:space="preserve">kohaselt on ladustamine eelnõu tähenduses põlevmaterjali või ohtliku aine </w:t>
      </w:r>
      <w:r w:rsidR="004F3A41" w:rsidRPr="004F3A41">
        <w:rPr>
          <w:bCs/>
          <w:highlight w:val="yellow"/>
        </w:rPr>
        <w:t>mistahes</w:t>
      </w:r>
      <w:r w:rsidRPr="00EF2AE3">
        <w:rPr>
          <w:bCs/>
        </w:rPr>
        <w:t xml:space="preserve"> hoiustamine ehitises või selle territooriumil</w:t>
      </w:r>
      <w:r>
        <w:rPr>
          <w:bCs/>
        </w:rPr>
        <w:t xml:space="preserve">. Seega loetakse ladustamiseks erinevaid elulisi olukordi, näiteks prügikonteinerisse jäätmete kogumist ja puidutööstuses hakkepuidu või keemiatööstuses </w:t>
      </w:r>
      <w:r w:rsidRPr="005C6F4B">
        <w:rPr>
          <w:bCs/>
        </w:rPr>
        <w:t>kemikaalide</w:t>
      </w:r>
      <w:r>
        <w:rPr>
          <w:bCs/>
        </w:rPr>
        <w:t xml:space="preserve"> hoiustamist.</w:t>
      </w:r>
    </w:p>
    <w:p w14:paraId="776CF483" w14:textId="77777777" w:rsidR="000D0219" w:rsidRPr="00B701C8" w:rsidRDefault="000D0219" w:rsidP="000D0219">
      <w:pPr>
        <w:pStyle w:val="NoSpacing"/>
      </w:pPr>
    </w:p>
    <w:p w14:paraId="29ED4977" w14:textId="77777777" w:rsidR="000D0219" w:rsidRPr="00B701C8" w:rsidRDefault="000D0219" w:rsidP="000D0219">
      <w:pPr>
        <w:pStyle w:val="NoSpacing"/>
        <w:jc w:val="both"/>
      </w:pPr>
      <w:r w:rsidRPr="00240B71">
        <w:rPr>
          <w:b/>
          <w:color w:val="0070C0"/>
        </w:rPr>
        <w:t>Lõike 2</w:t>
      </w:r>
      <w:r w:rsidRPr="00BE6E18">
        <w:rPr>
          <w:bCs/>
        </w:rPr>
        <w:t xml:space="preserve"> </w:t>
      </w:r>
      <w:r w:rsidRPr="00B701C8">
        <w:rPr>
          <w:bCs/>
        </w:rPr>
        <w:t xml:space="preserve">kohaselt </w:t>
      </w:r>
      <w:r>
        <w:rPr>
          <w:bCs/>
        </w:rPr>
        <w:t>käsitatakse</w:t>
      </w:r>
      <w:r w:rsidRPr="00B701C8">
        <w:rPr>
          <w:bCs/>
        </w:rPr>
        <w:t xml:space="preserve"> </w:t>
      </w:r>
      <w:r>
        <w:rPr>
          <w:bCs/>
        </w:rPr>
        <w:t>p</w:t>
      </w:r>
      <w:r w:rsidRPr="00EF2AE3">
        <w:rPr>
          <w:bCs/>
        </w:rPr>
        <w:t>õlevmaterjal</w:t>
      </w:r>
      <w:r>
        <w:rPr>
          <w:bCs/>
        </w:rPr>
        <w:t>i</w:t>
      </w:r>
      <w:r w:rsidRPr="00EF2AE3">
        <w:rPr>
          <w:bCs/>
        </w:rPr>
        <w:t xml:space="preserve"> </w:t>
      </w:r>
      <w:proofErr w:type="spellStart"/>
      <w:r>
        <w:rPr>
          <w:bCs/>
        </w:rPr>
        <w:t>TuOS-i</w:t>
      </w:r>
      <w:proofErr w:type="spellEnd"/>
      <w:r w:rsidRPr="00EF2AE3">
        <w:rPr>
          <w:bCs/>
        </w:rPr>
        <w:t xml:space="preserve"> </w:t>
      </w:r>
      <w:r>
        <w:rPr>
          <w:bCs/>
        </w:rPr>
        <w:t xml:space="preserve">tähenduses. </w:t>
      </w:r>
      <w:proofErr w:type="spellStart"/>
      <w:r>
        <w:rPr>
          <w:bCs/>
        </w:rPr>
        <w:t>TuOS-i</w:t>
      </w:r>
      <w:proofErr w:type="spellEnd"/>
      <w:r>
        <w:rPr>
          <w:bCs/>
        </w:rPr>
        <w:t xml:space="preserve"> § 2 lõike 3 kohaselt on põlevmaterjal </w:t>
      </w:r>
      <w:r w:rsidRPr="0027036F">
        <w:rPr>
          <w:bCs/>
        </w:rPr>
        <w:t>süttiv materjal või aine, mis sädemete ja lahtise leegiga kokkupuutel ning ümbritseva keskkonna kõrge temperatuuri mõjul süttib, levitab tuld ning eraldab soojust, suitsu, mürgiseid gaase ja kuumi või põlevaid tilku.</w:t>
      </w:r>
      <w:r w:rsidRPr="0027036F">
        <w:t xml:space="preserve"> </w:t>
      </w:r>
      <w:r w:rsidRPr="0027036F">
        <w:rPr>
          <w:bCs/>
        </w:rPr>
        <w:t>Põlevmaterjal</w:t>
      </w:r>
      <w:r>
        <w:rPr>
          <w:bCs/>
        </w:rPr>
        <w:t>id</w:t>
      </w:r>
      <w:r w:rsidRPr="0027036F">
        <w:rPr>
          <w:bCs/>
        </w:rPr>
        <w:t xml:space="preserve"> </w:t>
      </w:r>
      <w:r>
        <w:rPr>
          <w:bCs/>
        </w:rPr>
        <w:t>on</w:t>
      </w:r>
      <w:r w:rsidRPr="0027036F">
        <w:rPr>
          <w:bCs/>
        </w:rPr>
        <w:t xml:space="preserve"> </w:t>
      </w:r>
      <w:proofErr w:type="spellStart"/>
      <w:r w:rsidRPr="0027036F">
        <w:rPr>
          <w:bCs/>
        </w:rPr>
        <w:t>TuOS-i</w:t>
      </w:r>
      <w:proofErr w:type="spellEnd"/>
      <w:r w:rsidRPr="0027036F">
        <w:rPr>
          <w:bCs/>
        </w:rPr>
        <w:t xml:space="preserve"> </w:t>
      </w:r>
      <w:r>
        <w:rPr>
          <w:bCs/>
        </w:rPr>
        <w:t>tähenduses</w:t>
      </w:r>
      <w:r w:rsidRPr="0027036F">
        <w:rPr>
          <w:bCs/>
        </w:rPr>
        <w:t xml:space="preserve"> näiteks puit, värv, plast, kütus</w:t>
      </w:r>
      <w:r>
        <w:rPr>
          <w:bCs/>
        </w:rPr>
        <w:t>,</w:t>
      </w:r>
      <w:r w:rsidRPr="0027036F">
        <w:rPr>
          <w:bCs/>
        </w:rPr>
        <w:t xml:space="preserve"> s</w:t>
      </w:r>
      <w:r>
        <w:rPr>
          <w:bCs/>
        </w:rPr>
        <w:t>ealhulgas</w:t>
      </w:r>
      <w:r w:rsidRPr="0027036F">
        <w:rPr>
          <w:bCs/>
        </w:rPr>
        <w:t xml:space="preserve"> küttegaas</w:t>
      </w:r>
      <w:r>
        <w:rPr>
          <w:bCs/>
        </w:rPr>
        <w:t>,</w:t>
      </w:r>
      <w:r w:rsidRPr="0027036F">
        <w:rPr>
          <w:bCs/>
        </w:rPr>
        <w:t xml:space="preserve"> </w:t>
      </w:r>
      <w:r>
        <w:rPr>
          <w:bCs/>
        </w:rPr>
        <w:t>ning</w:t>
      </w:r>
      <w:r w:rsidRPr="0027036F">
        <w:rPr>
          <w:bCs/>
        </w:rPr>
        <w:t xml:space="preserve"> mu</w:t>
      </w:r>
      <w:r>
        <w:rPr>
          <w:bCs/>
        </w:rPr>
        <w:t>u</w:t>
      </w:r>
      <w:r w:rsidRPr="0027036F">
        <w:rPr>
          <w:bCs/>
        </w:rPr>
        <w:t>d materjal</w:t>
      </w:r>
      <w:r>
        <w:rPr>
          <w:bCs/>
        </w:rPr>
        <w:t>id</w:t>
      </w:r>
      <w:r w:rsidRPr="0027036F">
        <w:rPr>
          <w:bCs/>
        </w:rPr>
        <w:t xml:space="preserve"> </w:t>
      </w:r>
      <w:r>
        <w:rPr>
          <w:bCs/>
        </w:rPr>
        <w:t>ja</w:t>
      </w:r>
      <w:r w:rsidRPr="0027036F">
        <w:rPr>
          <w:bCs/>
        </w:rPr>
        <w:t xml:space="preserve"> ained, mida kasutatakse ehitises muu hulgas ehitus- või viimistlusmaterjalina või mida saab l</w:t>
      </w:r>
      <w:r>
        <w:rPr>
          <w:bCs/>
        </w:rPr>
        <w:t xml:space="preserve">adustada </w:t>
      </w:r>
      <w:r w:rsidRPr="0027036F">
        <w:rPr>
          <w:bCs/>
        </w:rPr>
        <w:t>laoplatsil või ehitises. Seega saab põlevmaterjal olla ka ehitus</w:t>
      </w:r>
      <w:r>
        <w:rPr>
          <w:bCs/>
        </w:rPr>
        <w:t>-</w:t>
      </w:r>
      <w:r w:rsidRPr="0027036F">
        <w:rPr>
          <w:bCs/>
        </w:rPr>
        <w:t xml:space="preserve"> või viimistlusmaterjal. Nii on näiteks siseministri 30. märtsi 2017. a</w:t>
      </w:r>
      <w:r>
        <w:rPr>
          <w:bCs/>
        </w:rPr>
        <w:t>asta</w:t>
      </w:r>
      <w:r w:rsidRPr="0027036F">
        <w:rPr>
          <w:bCs/>
        </w:rPr>
        <w:t xml:space="preserve"> määruses nr 17 „Ehitisele esitatavad tuleohutusnõuded“ (edaspidi </w:t>
      </w:r>
      <w:r w:rsidRPr="00656F90">
        <w:rPr>
          <w:bCs/>
          <w:i/>
          <w:iCs/>
        </w:rPr>
        <w:t>määrus nr 17</w:t>
      </w:r>
      <w:r w:rsidRPr="0027036F">
        <w:rPr>
          <w:bCs/>
        </w:rPr>
        <w:t xml:space="preserve">) kehtestatud tuletundlikkuse ja </w:t>
      </w:r>
      <w:r>
        <w:rPr>
          <w:bCs/>
        </w:rPr>
        <w:t>-</w:t>
      </w:r>
      <w:r w:rsidRPr="0027036F">
        <w:rPr>
          <w:bCs/>
        </w:rPr>
        <w:t>püsivuse nõuded just ehitusmaterjali kohta.</w:t>
      </w:r>
    </w:p>
    <w:p w14:paraId="0F282816" w14:textId="77777777" w:rsidR="000D0219" w:rsidRPr="00B701C8" w:rsidRDefault="000D0219" w:rsidP="000D0219">
      <w:pPr>
        <w:pStyle w:val="NoSpacing"/>
      </w:pPr>
    </w:p>
    <w:p w14:paraId="12967CE8" w14:textId="77777777" w:rsidR="000D0219" w:rsidRDefault="000D0219" w:rsidP="000D0219">
      <w:pPr>
        <w:pStyle w:val="NoSpacing"/>
        <w:jc w:val="both"/>
      </w:pPr>
      <w:r w:rsidRPr="00240B71">
        <w:rPr>
          <w:b/>
          <w:bCs/>
          <w:color w:val="0070C0"/>
        </w:rPr>
        <w:t>Lõike 3</w:t>
      </w:r>
      <w:r w:rsidRPr="00BE6E18">
        <w:t xml:space="preserve"> </w:t>
      </w:r>
      <w:r>
        <w:t>kohaselt mõistetakse eelnõus</w:t>
      </w:r>
      <w:r w:rsidRPr="00EF2AE3">
        <w:t xml:space="preserve"> </w:t>
      </w:r>
      <w:r>
        <w:t>o</w:t>
      </w:r>
      <w:r w:rsidRPr="00EF2AE3">
        <w:t>htlik</w:t>
      </w:r>
      <w:r>
        <w:t>u</w:t>
      </w:r>
      <w:r w:rsidRPr="00EF2AE3">
        <w:t xml:space="preserve"> aine</w:t>
      </w:r>
      <w:r>
        <w:t>na</w:t>
      </w:r>
      <w:r w:rsidRPr="00EF2AE3">
        <w:t xml:space="preserve"> </w:t>
      </w:r>
      <w:r>
        <w:t>KemS-i kohast</w:t>
      </w:r>
      <w:r w:rsidRPr="00EF2AE3">
        <w:t xml:space="preserve"> ohtlik</w:t>
      </w:r>
      <w:r>
        <w:t>ku</w:t>
      </w:r>
      <w:r w:rsidRPr="00EF2AE3">
        <w:t xml:space="preserve"> kemikaal</w:t>
      </w:r>
      <w:r>
        <w:t>i.</w:t>
      </w:r>
      <w:r w:rsidRPr="0027036F">
        <w:t xml:space="preserve"> </w:t>
      </w:r>
      <w:r w:rsidRPr="00C551B8">
        <w:rPr>
          <w:i/>
        </w:rPr>
        <w:t>Ohtlik kemikaal</w:t>
      </w:r>
      <w:r w:rsidRPr="00C551B8">
        <w:t xml:space="preserve"> on laiem mõiste, </w:t>
      </w:r>
      <w:r>
        <w:t>kuna</w:t>
      </w:r>
      <w:r w:rsidRPr="00C551B8">
        <w:t xml:space="preserve"> </w:t>
      </w:r>
      <w:r>
        <w:t>hõlmab</w:t>
      </w:r>
      <w:r w:rsidRPr="00C551B8">
        <w:t xml:space="preserve"> nii </w:t>
      </w:r>
      <w:r>
        <w:t xml:space="preserve">ohtlikku </w:t>
      </w:r>
      <w:r w:rsidRPr="00C551B8">
        <w:t>ainet kui</w:t>
      </w:r>
      <w:r>
        <w:t xml:space="preserve"> ka</w:t>
      </w:r>
      <w:r w:rsidRPr="00C551B8">
        <w:t xml:space="preserve"> segu.</w:t>
      </w:r>
    </w:p>
    <w:p w14:paraId="32428A80" w14:textId="77777777" w:rsidR="000D0219" w:rsidRDefault="000D0219" w:rsidP="000D0219">
      <w:pPr>
        <w:pStyle w:val="NoSpacing"/>
        <w:jc w:val="both"/>
      </w:pPr>
    </w:p>
    <w:p w14:paraId="43D3745B" w14:textId="049CEA2A" w:rsidR="000D0219" w:rsidRDefault="000D0219" w:rsidP="00194E77">
      <w:pPr>
        <w:pStyle w:val="NoSpacing"/>
        <w:numPr>
          <w:ilvl w:val="0"/>
          <w:numId w:val="24"/>
        </w:numPr>
        <w:jc w:val="both"/>
      </w:pPr>
      <w:r>
        <w:t xml:space="preserve">KemS-i § 3 lõike 1 kohaselt on </w:t>
      </w:r>
      <w:r w:rsidRPr="000C02A4">
        <w:rPr>
          <w:b/>
          <w:bCs/>
        </w:rPr>
        <w:t>kemikaal</w:t>
      </w:r>
      <w:r>
        <w:t xml:space="preserve"> </w:t>
      </w:r>
      <w:r w:rsidRPr="0027036F">
        <w:t>aine või segu REACH-</w:t>
      </w:r>
      <w:r>
        <w:t xml:space="preserve">i </w:t>
      </w:r>
      <w:r w:rsidRPr="0027036F">
        <w:t>määruse</w:t>
      </w:r>
      <w:r>
        <w:rPr>
          <w:rStyle w:val="FootnoteReference"/>
        </w:rPr>
        <w:footnoteReference w:id="7"/>
      </w:r>
      <w:r w:rsidRPr="00681619">
        <w:t xml:space="preserve"> </w:t>
      </w:r>
      <w:r w:rsidRPr="0027036F">
        <w:t>tähenduses.</w:t>
      </w:r>
    </w:p>
    <w:p w14:paraId="222390A4" w14:textId="77777777" w:rsidR="000D0219" w:rsidRDefault="000D0219" w:rsidP="000D0219">
      <w:pPr>
        <w:pStyle w:val="NoSpacing"/>
        <w:numPr>
          <w:ilvl w:val="0"/>
          <w:numId w:val="24"/>
        </w:numPr>
        <w:jc w:val="both"/>
      </w:pPr>
      <w:r>
        <w:t xml:space="preserve">KemS-i § 3 lõike 2 kohaselt on </w:t>
      </w:r>
      <w:r w:rsidRPr="000C02A4">
        <w:rPr>
          <w:b/>
          <w:bCs/>
        </w:rPr>
        <w:t>ohtlik kemikaal</w:t>
      </w:r>
      <w:r w:rsidRPr="002A6789">
        <w:t xml:space="preserve"> aine v</w:t>
      </w:r>
      <w:r>
        <w:t>õi segu, mis vastab CLP määruse</w:t>
      </w:r>
      <w:r>
        <w:rPr>
          <w:rStyle w:val="FootnoteReference"/>
        </w:rPr>
        <w:footnoteReference w:id="8"/>
      </w:r>
      <w:r w:rsidRPr="002A6789">
        <w:t xml:space="preserve"> I</w:t>
      </w:r>
      <w:r>
        <w:t> </w:t>
      </w:r>
      <w:r w:rsidRPr="002A6789">
        <w:t>lisa osades 2</w:t>
      </w:r>
      <w:r>
        <w:t>–</w:t>
      </w:r>
      <w:r w:rsidRPr="002A6789">
        <w:t>5 sätestatud füüsikaliste, tervise- või keskkonnaohtude kriteeriumidele. Seetõttu võivad o</w:t>
      </w:r>
      <w:r>
        <w:t>htlikud kemikaalid olla tervise</w:t>
      </w:r>
      <w:r>
        <w:noBreakHyphen/>
      </w:r>
      <w:r w:rsidRPr="002A6789">
        <w:t>, tule-</w:t>
      </w:r>
      <w:r>
        <w:t>,</w:t>
      </w:r>
      <w:r w:rsidRPr="002A6789">
        <w:t xml:space="preserve"> pl</w:t>
      </w:r>
      <w:r>
        <w:t>ahvatus- ja keskkonna</w:t>
      </w:r>
      <w:r>
        <w:softHyphen/>
        <w:t>ohtlikud.</w:t>
      </w:r>
    </w:p>
    <w:p w14:paraId="4970A54A" w14:textId="77777777" w:rsidR="000D0219" w:rsidRDefault="000D0219" w:rsidP="000D0219">
      <w:pPr>
        <w:pStyle w:val="NoSpacing"/>
        <w:ind w:left="360"/>
        <w:jc w:val="both"/>
      </w:pPr>
    </w:p>
    <w:p w14:paraId="0181ED31" w14:textId="77777777" w:rsidR="000D0219" w:rsidRDefault="000D0219" w:rsidP="000D0219">
      <w:pPr>
        <w:pStyle w:val="NoSpacing"/>
        <w:numPr>
          <w:ilvl w:val="0"/>
          <w:numId w:val="24"/>
        </w:numPr>
        <w:jc w:val="both"/>
      </w:pPr>
      <w:r w:rsidRPr="000C02A4">
        <w:rPr>
          <w:b/>
          <w:bCs/>
        </w:rPr>
        <w:t>Aine</w:t>
      </w:r>
      <w:r>
        <w:t xml:space="preserve"> on looduslik või tootmise teel saadud keemiline element või selle ühendid koos püsivuse säilitamiseks vajalike ja tootmismenetlusest johtuvate lisanditega, välja arvatud lahustid, mida on võimalik ainest eraldada, mõjutamata aine püsivust või muutmata selle koostist. Tootmises tekib aine tavaliselt keemilise reaktsiooni tulemusel.</w:t>
      </w:r>
    </w:p>
    <w:p w14:paraId="70751417" w14:textId="77777777" w:rsidR="000D0219" w:rsidRDefault="000D0219" w:rsidP="000D0219">
      <w:pPr>
        <w:pStyle w:val="NoSpacing"/>
        <w:ind w:left="360"/>
        <w:jc w:val="both"/>
      </w:pPr>
    </w:p>
    <w:p w14:paraId="5690A566" w14:textId="77777777" w:rsidR="000D0219" w:rsidRDefault="000D0219" w:rsidP="000D0219">
      <w:pPr>
        <w:pStyle w:val="NoSpacing"/>
        <w:numPr>
          <w:ilvl w:val="0"/>
          <w:numId w:val="24"/>
        </w:numPr>
        <w:jc w:val="both"/>
      </w:pPr>
      <w:r w:rsidRPr="000C02A4">
        <w:rPr>
          <w:b/>
          <w:bCs/>
        </w:rPr>
        <w:t>Segu</w:t>
      </w:r>
      <w:r>
        <w:t xml:space="preserve"> on kahest või enamast ainest koosnev segu või lahus. </w:t>
      </w:r>
    </w:p>
    <w:p w14:paraId="062626C8" w14:textId="77777777" w:rsidR="000D0219" w:rsidRDefault="000D0219" w:rsidP="000D0219">
      <w:pPr>
        <w:pStyle w:val="NoSpacing"/>
        <w:jc w:val="both"/>
      </w:pPr>
    </w:p>
    <w:p w14:paraId="3D0CB0FC" w14:textId="5256BFD7" w:rsidR="00B86DCE" w:rsidRDefault="00B86DCE" w:rsidP="000D0219">
      <w:pPr>
        <w:pStyle w:val="NoSpacing"/>
        <w:jc w:val="both"/>
      </w:pPr>
      <w:r w:rsidRPr="00B86DCE">
        <w:rPr>
          <w:highlight w:val="yellow"/>
        </w:rPr>
        <w:t>Eelnõu volitusnorm</w:t>
      </w:r>
      <w:r w:rsidR="0002729C">
        <w:rPr>
          <w:highlight w:val="yellow"/>
        </w:rPr>
        <w:t xml:space="preserve"> nimetab määruse reguleerimisesemena</w:t>
      </w:r>
      <w:r w:rsidRPr="00B86DCE">
        <w:rPr>
          <w:highlight w:val="yellow"/>
        </w:rPr>
        <w:t xml:space="preserve"> mõiste „ohtlikud ained“, </w:t>
      </w:r>
      <w:r w:rsidR="0002729C">
        <w:rPr>
          <w:highlight w:val="yellow"/>
        </w:rPr>
        <w:t>millest</w:t>
      </w:r>
      <w:r w:rsidR="0002729C" w:rsidRPr="00B86DCE">
        <w:rPr>
          <w:highlight w:val="yellow"/>
        </w:rPr>
        <w:t xml:space="preserve"> </w:t>
      </w:r>
      <w:r w:rsidRPr="00B86DCE">
        <w:rPr>
          <w:highlight w:val="yellow"/>
        </w:rPr>
        <w:t>laiemaks minna ei saa. Ohtliku ainena käsitatakse eelnõus KemS-i kohast kemikaali, mis saab olemuslikult olla nii aine kui segu</w:t>
      </w:r>
      <w:r w:rsidR="0002729C">
        <w:rPr>
          <w:highlight w:val="yellow"/>
        </w:rPr>
        <w:t>. Kuna</w:t>
      </w:r>
      <w:r w:rsidR="001E177B">
        <w:rPr>
          <w:highlight w:val="yellow"/>
        </w:rPr>
        <w:t xml:space="preserve"> </w:t>
      </w:r>
      <w:r w:rsidRPr="00B86DCE">
        <w:rPr>
          <w:highlight w:val="yellow"/>
        </w:rPr>
        <w:t>eelnõu</w:t>
      </w:r>
      <w:r w:rsidR="0002729C">
        <w:rPr>
          <w:highlight w:val="yellow"/>
        </w:rPr>
        <w:t xml:space="preserve"> kohaselt on reguleeritud määruse</w:t>
      </w:r>
      <w:r w:rsidR="005467E0">
        <w:rPr>
          <w:highlight w:val="yellow"/>
        </w:rPr>
        <w:t xml:space="preserve"> </w:t>
      </w:r>
      <w:r w:rsidRPr="00B86DCE">
        <w:rPr>
          <w:highlight w:val="yellow"/>
        </w:rPr>
        <w:t>kohaldamisala, siis on ohtliku aine mõiste selline käsitlus piisav</w:t>
      </w:r>
      <w:r w:rsidR="0002729C">
        <w:rPr>
          <w:highlight w:val="yellow"/>
        </w:rPr>
        <w:t>alt täpne</w:t>
      </w:r>
      <w:r w:rsidR="008B0BF5">
        <w:rPr>
          <w:highlight w:val="yellow"/>
        </w:rPr>
        <w:t xml:space="preserve"> ja arusaadav</w:t>
      </w:r>
      <w:r w:rsidRPr="00B86DCE">
        <w:rPr>
          <w:highlight w:val="yellow"/>
        </w:rPr>
        <w:t>.</w:t>
      </w:r>
      <w:r w:rsidRPr="00B86DCE">
        <w:t xml:space="preserve"> </w:t>
      </w:r>
    </w:p>
    <w:p w14:paraId="78AB4109" w14:textId="77777777" w:rsidR="00B86DCE" w:rsidRDefault="00B86DCE" w:rsidP="000D0219">
      <w:pPr>
        <w:pStyle w:val="NoSpacing"/>
        <w:jc w:val="both"/>
      </w:pPr>
    </w:p>
    <w:p w14:paraId="15547A2D" w14:textId="52465083" w:rsidR="000D0219" w:rsidRPr="00B701C8" w:rsidRDefault="000D0219" w:rsidP="000D0219">
      <w:pPr>
        <w:pStyle w:val="NoSpacing"/>
        <w:jc w:val="both"/>
      </w:pPr>
      <w:bookmarkStart w:id="8" w:name="_Toc149306195"/>
      <w:r w:rsidRPr="00BE6E18">
        <w:rPr>
          <w:rStyle w:val="Heading3Char"/>
        </w:rPr>
        <w:t xml:space="preserve">Eelnõu §-s </w:t>
      </w:r>
      <w:bookmarkEnd w:id="8"/>
      <w:r w:rsidR="00832E28">
        <w:rPr>
          <w:rStyle w:val="Heading3Char"/>
        </w:rPr>
        <w:t>4</w:t>
      </w:r>
      <w:r w:rsidRPr="00B701C8">
        <w:t xml:space="preserve"> sätestatakse </w:t>
      </w:r>
      <w:r>
        <w:t>tuleohutus</w:t>
      </w:r>
      <w:r w:rsidRPr="00B701C8">
        <w:t xml:space="preserve">nõuded </w:t>
      </w:r>
      <w:r>
        <w:t>p</w:t>
      </w:r>
      <w:r w:rsidRPr="00EF2AE3">
        <w:t>õlevmaterjali ladustami</w:t>
      </w:r>
      <w:r>
        <w:t>sele</w:t>
      </w:r>
      <w:r w:rsidRPr="00EF2AE3">
        <w:t xml:space="preserve"> ehitises</w:t>
      </w:r>
      <w:r w:rsidRPr="00B701C8">
        <w:t>.</w:t>
      </w:r>
    </w:p>
    <w:p w14:paraId="64DFBC24" w14:textId="77777777" w:rsidR="000D0219" w:rsidRPr="00B701C8" w:rsidRDefault="000D0219" w:rsidP="000D0219">
      <w:pPr>
        <w:pStyle w:val="NoSpacing"/>
      </w:pPr>
    </w:p>
    <w:p w14:paraId="7641A494" w14:textId="77777777" w:rsidR="000D0219" w:rsidRDefault="000D0219" w:rsidP="000D0219">
      <w:pPr>
        <w:pStyle w:val="NoSpacing"/>
        <w:jc w:val="both"/>
      </w:pPr>
      <w:r w:rsidRPr="00240B71">
        <w:rPr>
          <w:b/>
          <w:color w:val="0070C0"/>
        </w:rPr>
        <w:t>Lõike 1</w:t>
      </w:r>
      <w:r w:rsidRPr="00BE6E18">
        <w:t xml:space="preserve"> </w:t>
      </w:r>
      <w:r w:rsidRPr="00B701C8">
        <w:t xml:space="preserve">kohaselt </w:t>
      </w:r>
      <w:r>
        <w:t>ei tohi p</w:t>
      </w:r>
      <w:r w:rsidRPr="007E1B23">
        <w:t>õlevmaterjali ladustada ehitises, sealhulgas väljumisteel, selliselt, et see põhjusta</w:t>
      </w:r>
      <w:r>
        <w:t>b</w:t>
      </w:r>
      <w:r w:rsidRPr="007E1B23">
        <w:t xml:space="preserve"> tuleohtu, takista</w:t>
      </w:r>
      <w:r>
        <w:t>b</w:t>
      </w:r>
      <w:r w:rsidRPr="007E1B23">
        <w:t xml:space="preserve"> evakuatsiooni</w:t>
      </w:r>
      <w:r>
        <w:t xml:space="preserve"> </w:t>
      </w:r>
      <w:r w:rsidRPr="007E1B23">
        <w:t>või raskenda</w:t>
      </w:r>
      <w:r>
        <w:t>b</w:t>
      </w:r>
      <w:r w:rsidRPr="007E1B23">
        <w:t xml:space="preserve"> päästetööd.</w:t>
      </w:r>
      <w:r>
        <w:t xml:space="preserve"> </w:t>
      </w:r>
      <w:r w:rsidRPr="008D515A">
        <w:t>Põlevmaterjali ei tohi ladustada evakuatsiooniteel.</w:t>
      </w:r>
    </w:p>
    <w:p w14:paraId="4F53AEB6" w14:textId="77777777" w:rsidR="000D0219" w:rsidRDefault="000D0219" w:rsidP="000D0219">
      <w:pPr>
        <w:pStyle w:val="NoSpacing"/>
        <w:jc w:val="both"/>
      </w:pPr>
    </w:p>
    <w:p w14:paraId="58625A27" w14:textId="77777777" w:rsidR="000D0219" w:rsidRDefault="000D0219" w:rsidP="000D0219">
      <w:pPr>
        <w:pStyle w:val="NoSpacing"/>
        <w:jc w:val="both"/>
      </w:pPr>
      <w:r>
        <w:t>Põlevmaterjali tohib seega ehitises ladustada, kuid tuleb arvestada, et selle kogus ja paigutus ei tohi põhjustada tuleohtu, takistada inimeste liikumist tulekahju korral või raskendada päästjate päästetööd. Päästetöö hõlmab ka näiteks vajadust inimest kiirabi osutamiseks</w:t>
      </w:r>
      <w:r w:rsidRPr="0073689E">
        <w:t xml:space="preserve"> </w:t>
      </w:r>
      <w:r>
        <w:t>transportida. Kui väljumistee või evakuatsioonitee on ladustamise tõttu kitsas, ei pruugi olla võimalik inimest kanderaamiga liigutada. Selle kõige tavalisem näide on jalgrattad ja lapsevankrid, aga ka suured lillepotid ja kapid</w:t>
      </w:r>
      <w:r w:rsidRPr="0073689E">
        <w:t xml:space="preserve"> </w:t>
      </w:r>
      <w:r>
        <w:t>kortermaja trepikojas. Neid asju võib hoida kohas, kus need ei jää kellelegi ette ega kitsenda ohutut liikumist.</w:t>
      </w:r>
    </w:p>
    <w:p w14:paraId="5029626F" w14:textId="77777777" w:rsidR="000D0219" w:rsidRDefault="000D0219" w:rsidP="000D0219">
      <w:pPr>
        <w:pStyle w:val="NoSpacing"/>
        <w:jc w:val="both"/>
      </w:pPr>
    </w:p>
    <w:p w14:paraId="5EB2151D" w14:textId="77777777" w:rsidR="000D0219" w:rsidRDefault="000D0219" w:rsidP="000D0219">
      <w:pPr>
        <w:pStyle w:val="NoSpacing"/>
        <w:jc w:val="both"/>
      </w:pPr>
      <w:r>
        <w:t>Samuti tuleb arvestada, et näiteks hooletult tühja lapsevankrisse visatud suitsukoni võib panna vankri põlema, ja kui see põleb trepikojas, on trepikoja kasutamine evakuatsiooniks võimatu. Sellel põhjusel lisatakse ka nõue, et p</w:t>
      </w:r>
      <w:r w:rsidRPr="007E1B23">
        <w:t xml:space="preserve">õlevmaterjali ei </w:t>
      </w:r>
      <w:r>
        <w:t xml:space="preserve">tohi </w:t>
      </w:r>
      <w:r w:rsidRPr="007E1B23">
        <w:t>ladusta</w:t>
      </w:r>
      <w:r>
        <w:t>d</w:t>
      </w:r>
      <w:r w:rsidRPr="007E1B23">
        <w:t>a evakuatsiooni</w:t>
      </w:r>
      <w:r>
        <w:softHyphen/>
      </w:r>
      <w:r w:rsidRPr="007E1B23">
        <w:t>teel</w:t>
      </w:r>
      <w:r>
        <w:t xml:space="preserve">. See takistab nii otseselt </w:t>
      </w:r>
      <w:r w:rsidRPr="007E1B23">
        <w:t>evakuatsiooni</w:t>
      </w:r>
      <w:r>
        <w:t xml:space="preserve"> kui ka loob tuleohu, kuna </w:t>
      </w:r>
      <w:r w:rsidRPr="007E1B23">
        <w:t xml:space="preserve">evakuatsiooniteele ladustatud põlevmaterjal </w:t>
      </w:r>
      <w:r>
        <w:t xml:space="preserve">võib </w:t>
      </w:r>
      <w:r w:rsidRPr="007E1B23">
        <w:t xml:space="preserve">süttida </w:t>
      </w:r>
      <w:r>
        <w:t>ning</w:t>
      </w:r>
      <w:r w:rsidRPr="007E1B23">
        <w:t xml:space="preserve"> sellisel juhul ei saa evakuatsiooni</w:t>
      </w:r>
      <w:r>
        <w:softHyphen/>
      </w:r>
      <w:r w:rsidRPr="007E1B23">
        <w:t xml:space="preserve">teed kasutada </w:t>
      </w:r>
      <w:r>
        <w:t>ja</w:t>
      </w:r>
      <w:r w:rsidRPr="007E1B23">
        <w:t xml:space="preserve"> hoonest väljumine on raskendatud või isegi võimatu.</w:t>
      </w:r>
    </w:p>
    <w:p w14:paraId="70E0DCBD" w14:textId="77777777" w:rsidR="000D0219" w:rsidRDefault="000D0219" w:rsidP="000D0219">
      <w:pPr>
        <w:pStyle w:val="NoSpacing"/>
        <w:jc w:val="both"/>
      </w:pPr>
    </w:p>
    <w:p w14:paraId="7D812B61" w14:textId="77777777" w:rsidR="000D0219" w:rsidRDefault="000D0219" w:rsidP="000D0219">
      <w:pPr>
        <w:pStyle w:val="NoSpacing"/>
        <w:jc w:val="both"/>
      </w:pPr>
      <w:r>
        <w:t>Silmas tuleb pidada, et nõude rikkumiseks ei saa pidada ainult olukorda, kus on toimunud reaalne evakuatsioon, mis on olnud raskendatud põlevmaterjali vale ladustamise tõttu. Nõuet on rikutud, kui põlevmaterjal on ladustatud selliselt, et võimalik evakuatsioon, st kiire ja ohutu liikumine hoones, on raskendatud.</w:t>
      </w:r>
    </w:p>
    <w:p w14:paraId="5F6A17A8" w14:textId="77777777" w:rsidR="000D0219" w:rsidRDefault="000D0219" w:rsidP="000D0219">
      <w:pPr>
        <w:pStyle w:val="NoSpacing"/>
        <w:jc w:val="both"/>
        <w:rPr>
          <w:u w:val="single"/>
        </w:rPr>
      </w:pPr>
    </w:p>
    <w:p w14:paraId="041A65C5" w14:textId="0B95C201" w:rsidR="000D0219" w:rsidRDefault="000D0219" w:rsidP="000D0219">
      <w:pPr>
        <w:pStyle w:val="NoSpacing"/>
        <w:jc w:val="both"/>
      </w:pPr>
      <w:r w:rsidRPr="00240B71">
        <w:rPr>
          <w:b/>
          <w:bCs/>
          <w:color w:val="0070C0"/>
        </w:rPr>
        <w:t>Lõike 2</w:t>
      </w:r>
      <w:r w:rsidRPr="00240B71">
        <w:rPr>
          <w:color w:val="0070C0"/>
        </w:rPr>
        <w:t xml:space="preserve"> </w:t>
      </w:r>
      <w:r>
        <w:t xml:space="preserve">kohaselt võib hoones ladustada ja kasutada hoone või selle osa kütmiseks või tehnosüsteemi toimimiseks mõeldud </w:t>
      </w:r>
      <w:r w:rsidR="00B71791" w:rsidRPr="0082499D">
        <w:rPr>
          <w:highlight w:val="yellow"/>
        </w:rPr>
        <w:t>tuleohtlikku vedelikku</w:t>
      </w:r>
      <w:r>
        <w:t xml:space="preserve"> või tuleohtlikku gaasi tingimusel, et selle ladustamise</w:t>
      </w:r>
      <w:r w:rsidRPr="002E68A7">
        <w:t xml:space="preserve"> koh</w:t>
      </w:r>
      <w:r>
        <w:t xml:space="preserve">t on omaette tuletõkkesektsioon </w:t>
      </w:r>
      <w:r>
        <w:t xml:space="preserve">ning </w:t>
      </w:r>
      <w:r w:rsidR="007343CF" w:rsidRPr="0082499D">
        <w:rPr>
          <w:highlight w:val="yellow"/>
        </w:rPr>
        <w:t>tuleohtliku vedeliku</w:t>
      </w:r>
      <w:r w:rsidR="007343CF">
        <w:t xml:space="preserve"> </w:t>
      </w:r>
      <w:r>
        <w:t>või tuleohtliku gaasi ladustamine ja kasutamine on nähtud ette hoone ehitusprojekti</w:t>
      </w:r>
      <w:r w:rsidR="0002729C">
        <w:t>s</w:t>
      </w:r>
      <w:r>
        <w:t>. See tähendab, et ehitus</w:t>
      </w:r>
      <w:r>
        <w:softHyphen/>
        <w:t>projektis peab olema nähtud hoonele ette küttesüsteem ja seetõttu on määruse nr 17 kohaselt vaja hoones järgida teatud ehituslikke tuleohutusnõudeid. Üks levinuimaid meetmeid on hoone jaotamine tuletõkkesektsioonideks.</w:t>
      </w:r>
    </w:p>
    <w:p w14:paraId="03BEF2F6" w14:textId="77777777" w:rsidR="000D0219" w:rsidRDefault="000D0219" w:rsidP="000D0219">
      <w:pPr>
        <w:pStyle w:val="NoSpacing"/>
        <w:jc w:val="both"/>
      </w:pPr>
    </w:p>
    <w:p w14:paraId="4F7B8A47" w14:textId="77777777" w:rsidR="000D0219" w:rsidRDefault="000D0219" w:rsidP="000D0219">
      <w:pPr>
        <w:pStyle w:val="NoSpacing"/>
        <w:numPr>
          <w:ilvl w:val="0"/>
          <w:numId w:val="20"/>
        </w:numPr>
        <w:jc w:val="both"/>
      </w:pPr>
      <w:r>
        <w:t>Katlaruumis võib eelnõu järgi hoida kuni 3 m</w:t>
      </w:r>
      <w:r w:rsidRPr="003A16B7">
        <w:rPr>
          <w:vertAlign w:val="superscript"/>
        </w:rPr>
        <w:t>3</w:t>
      </w:r>
      <w:r>
        <w:t xml:space="preserve"> mahutavusega kütusemahutit, kui katlaruum on omaette tuletõkkesektsioon. Määruse nr 17 kohaselt tuleb eraldi tule</w:t>
      </w:r>
      <w:r>
        <w:softHyphen/>
        <w:t>tõkkesektsiooniks ehitada</w:t>
      </w:r>
      <w:r w:rsidRPr="00656F90">
        <w:t xml:space="preserve"> katlaruum, kus gaasikütteseadmete koguvõimsus on </w:t>
      </w:r>
      <w:r>
        <w:t>üle</w:t>
      </w:r>
      <w:r w:rsidRPr="00656F90">
        <w:t xml:space="preserve"> 35 kilovati </w:t>
      </w:r>
      <w:r>
        <w:t>ja</w:t>
      </w:r>
      <w:r w:rsidRPr="00656F90">
        <w:t xml:space="preserve"> vedel- või tahkekütteseadmete </w:t>
      </w:r>
      <w:r>
        <w:t>oma</w:t>
      </w:r>
      <w:r w:rsidRPr="00656F90">
        <w:t xml:space="preserve"> </w:t>
      </w:r>
      <w:r>
        <w:t>üle</w:t>
      </w:r>
      <w:r w:rsidRPr="00656F90">
        <w:t xml:space="preserve"> 25 kilovati</w:t>
      </w:r>
      <w:r>
        <w:t>.</w:t>
      </w:r>
    </w:p>
    <w:p w14:paraId="5174A780" w14:textId="77777777" w:rsidR="000D0219" w:rsidRDefault="000D0219" w:rsidP="000D0219">
      <w:pPr>
        <w:pStyle w:val="NoSpacing"/>
        <w:jc w:val="both"/>
      </w:pPr>
    </w:p>
    <w:p w14:paraId="034AADF3" w14:textId="0B405F3B" w:rsidR="000D0219" w:rsidRPr="0082499D" w:rsidRDefault="000D0219" w:rsidP="000D0219">
      <w:pPr>
        <w:pStyle w:val="NoSpacing"/>
        <w:numPr>
          <w:ilvl w:val="0"/>
          <w:numId w:val="20"/>
        </w:numPr>
        <w:jc w:val="both"/>
        <w:rPr>
          <w:highlight w:val="yellow"/>
        </w:rPr>
      </w:pPr>
      <w:r>
        <w:t>Koduköögis kasutatava gaasiballooni puhul on samuti lõike 2 nõuded täidetud: korter on sageli omaette tuletõkkesektsioon ja gaasi kasutamine on nähtud ette hoone ehitusprojektis.</w:t>
      </w:r>
      <w:r w:rsidR="007343CF">
        <w:t xml:space="preserve"> </w:t>
      </w:r>
      <w:r w:rsidR="007343CF" w:rsidRPr="0082499D">
        <w:rPr>
          <w:highlight w:val="yellow"/>
        </w:rPr>
        <w:t>Lisaks tuleb g</w:t>
      </w:r>
      <w:r w:rsidR="005F34E9" w:rsidRPr="0082499D">
        <w:rPr>
          <w:highlight w:val="yellow"/>
        </w:rPr>
        <w:t>aasiballooni</w:t>
      </w:r>
      <w:r w:rsidR="007343CF" w:rsidRPr="0082499D">
        <w:rPr>
          <w:highlight w:val="yellow"/>
        </w:rPr>
        <w:t xml:space="preserve"> puhul hoones juhinduda</w:t>
      </w:r>
      <w:r w:rsidR="005F34E9" w:rsidRPr="0082499D">
        <w:rPr>
          <w:highlight w:val="yellow"/>
        </w:rPr>
        <w:t xml:space="preserve"> majandus- ja taristuministri 3. juuli 2015. aasta määruse nr 87 „Küttegaasi kasutavale gaasipaigaldisele, selle ehitamisele ja gaasiseadme paigaldamisele ning gaasiballooni ladustamisele ja gaasianuma täitmisele esitatavad nõuded“ §-des 47 ja 48 sätestatud </w:t>
      </w:r>
      <w:r w:rsidR="007343CF" w:rsidRPr="0082499D">
        <w:rPr>
          <w:highlight w:val="yellow"/>
        </w:rPr>
        <w:t>nõuetest</w:t>
      </w:r>
      <w:r w:rsidR="005F34E9" w:rsidRPr="0082499D">
        <w:rPr>
          <w:highlight w:val="yellow"/>
        </w:rPr>
        <w:t>.</w:t>
      </w:r>
    </w:p>
    <w:p w14:paraId="62FFEB96" w14:textId="77777777" w:rsidR="000D0219" w:rsidRDefault="000D0219" w:rsidP="000D0219">
      <w:pPr>
        <w:pStyle w:val="NoSpacing"/>
      </w:pPr>
    </w:p>
    <w:p w14:paraId="544FC14A" w14:textId="3F921D1F" w:rsidR="00604AEF" w:rsidRDefault="000D0219" w:rsidP="000D0219">
      <w:pPr>
        <w:pStyle w:val="NoSpacing"/>
        <w:jc w:val="both"/>
      </w:pPr>
      <w:r w:rsidRPr="00240B71">
        <w:rPr>
          <w:b/>
          <w:bCs/>
          <w:color w:val="0070C0"/>
        </w:rPr>
        <w:t>Lõike 3</w:t>
      </w:r>
      <w:r w:rsidRPr="00BE6E18">
        <w:t xml:space="preserve"> </w:t>
      </w:r>
      <w:r>
        <w:t xml:space="preserve">kohaselt võib mitme korteriga elamu keldris ladustada elamu või selle osa kütmiseks mõeldud tahkeküttematerjali tingimusel, et kelder on omaette tuletõkkesektsioon. </w:t>
      </w:r>
      <w:r w:rsidR="003B0F39" w:rsidRPr="003B0F39">
        <w:rPr>
          <w:highlight w:val="yellow"/>
        </w:rPr>
        <w:t xml:space="preserve">Küttepuude </w:t>
      </w:r>
      <w:r w:rsidR="0002729C">
        <w:rPr>
          <w:highlight w:val="yellow"/>
        </w:rPr>
        <w:t xml:space="preserve">ladustamine </w:t>
      </w:r>
      <w:r w:rsidR="003B0F39" w:rsidRPr="003B0F39">
        <w:rPr>
          <w:highlight w:val="yellow"/>
        </w:rPr>
        <w:t>keldri</w:t>
      </w:r>
      <w:r w:rsidR="0002729C">
        <w:rPr>
          <w:highlight w:val="yellow"/>
        </w:rPr>
        <w:t>s</w:t>
      </w:r>
      <w:r w:rsidR="003B0F39" w:rsidRPr="003B0F39">
        <w:rPr>
          <w:highlight w:val="yellow"/>
        </w:rPr>
        <w:t xml:space="preserve"> on eelkõige kasulik küttesüsteemide eluea pikendamiseks, </w:t>
      </w:r>
      <w:r w:rsidR="0002729C">
        <w:rPr>
          <w:highlight w:val="yellow"/>
        </w:rPr>
        <w:t xml:space="preserve">kuna </w:t>
      </w:r>
      <w:r w:rsidR="003B0F39" w:rsidRPr="003B0F39">
        <w:rPr>
          <w:highlight w:val="yellow"/>
        </w:rPr>
        <w:t>kuivade küttepuudega kütmisel tekib vähem tahma, mis omakorda vähendab tõenäosust, et tahm korstnas süt</w:t>
      </w:r>
      <w:r w:rsidR="007377F3">
        <w:rPr>
          <w:highlight w:val="yellow"/>
        </w:rPr>
        <w:t>t</w:t>
      </w:r>
      <w:r w:rsidR="003B0F39" w:rsidRPr="003B0F39">
        <w:rPr>
          <w:highlight w:val="yellow"/>
        </w:rPr>
        <w:t>iks.</w:t>
      </w:r>
      <w:r w:rsidR="003B0F39">
        <w:t xml:space="preserve"> </w:t>
      </w:r>
      <w:r w:rsidR="003B0F39" w:rsidRPr="003B0F39">
        <w:rPr>
          <w:highlight w:val="yellow"/>
        </w:rPr>
        <w:t>Tuletõkkesektsioonide nõue</w:t>
      </w:r>
      <w:r w:rsidRPr="003B0F39">
        <w:rPr>
          <w:highlight w:val="yellow"/>
        </w:rPr>
        <w:t xml:space="preserve"> lähtu</w:t>
      </w:r>
      <w:r w:rsidR="003B0F39" w:rsidRPr="003B0F39">
        <w:rPr>
          <w:highlight w:val="yellow"/>
        </w:rPr>
        <w:t>b</w:t>
      </w:r>
      <w:r>
        <w:t xml:space="preserve"> asjaolust, et tuletõkkesektsioonid teevad elamu oluliselt tulepüsivamaks ning ei võimalda tulel ja suitsul tulekahju korral kiiresti levida. Määruse nr 17 kohaselt tuleb kelder</w:t>
      </w:r>
      <w:r w:rsidRPr="005B5934">
        <w:t xml:space="preserve"> eraldada omaette tuletõkkesektsiooniks</w:t>
      </w:r>
      <w:r>
        <w:t>, välja arvatud</w:t>
      </w:r>
      <w:r w:rsidRPr="005B5934">
        <w:t xml:space="preserve"> ühe korteriga elamus. Kui määrus </w:t>
      </w:r>
      <w:r>
        <w:t xml:space="preserve">nr </w:t>
      </w:r>
      <w:r w:rsidRPr="005B5934">
        <w:t xml:space="preserve">17 kehtib üldiselt uute ja renoveeritavate </w:t>
      </w:r>
      <w:r>
        <w:t>hoonete kohta</w:t>
      </w:r>
      <w:r w:rsidRPr="005B5934">
        <w:t xml:space="preserve">, siis </w:t>
      </w:r>
      <w:r>
        <w:t>lõike 3</w:t>
      </w:r>
      <w:r w:rsidRPr="005B5934">
        <w:t xml:space="preserve"> nõue kehtib ka olemasolevate</w:t>
      </w:r>
      <w:r>
        <w:t xml:space="preserve"> hoonete kohta</w:t>
      </w:r>
      <w:r w:rsidRPr="005B5934">
        <w:t>. Seega peaks ka olemasolevates hoonetes</w:t>
      </w:r>
      <w:r w:rsidR="004F3A41">
        <w:t>,</w:t>
      </w:r>
      <w:r w:rsidRPr="005B5934">
        <w:t xml:space="preserve"> </w:t>
      </w:r>
      <w:r w:rsidR="004F3A41" w:rsidRPr="004F3A41">
        <w:rPr>
          <w:highlight w:val="yellow"/>
        </w:rPr>
        <w:lastRenderedPageBreak/>
        <w:t xml:space="preserve">kui soovitakse </w:t>
      </w:r>
      <w:r w:rsidR="004F3A41">
        <w:rPr>
          <w:highlight w:val="yellow"/>
        </w:rPr>
        <w:t>keldris</w:t>
      </w:r>
      <w:r w:rsidR="004F3A41" w:rsidRPr="004F3A41">
        <w:rPr>
          <w:highlight w:val="yellow"/>
        </w:rPr>
        <w:t xml:space="preserve"> küttepuid ladustada</w:t>
      </w:r>
      <w:r w:rsidR="004F3A41">
        <w:t>,</w:t>
      </w:r>
      <w:r w:rsidR="004F3A41" w:rsidRPr="005B5934">
        <w:t xml:space="preserve"> </w:t>
      </w:r>
      <w:r w:rsidRPr="005B5934">
        <w:t>kasutama ehituslahendusi</w:t>
      </w:r>
      <w:r>
        <w:t>, et</w:t>
      </w:r>
      <w:r w:rsidRPr="005B5934">
        <w:t xml:space="preserve"> keld</w:t>
      </w:r>
      <w:r>
        <w:t>er oleks eraldi tuletõkkesektsioon</w:t>
      </w:r>
      <w:r w:rsidRPr="005B5934">
        <w:t>.</w:t>
      </w:r>
      <w:r>
        <w:t xml:space="preserve"> See võib mõnel juhul osutuda väljakutseks, kuid Päästeamet ning tuleohutusspetsialistid ja -eksperdid on valmis aitama leida võimalikke lahendusi</w:t>
      </w:r>
      <w:r w:rsidRPr="006D36F2">
        <w:rPr>
          <w:highlight w:val="yellow"/>
        </w:rPr>
        <w:t>.</w:t>
      </w:r>
      <w:r w:rsidR="00604AEF" w:rsidRPr="006D36F2">
        <w:rPr>
          <w:highlight w:val="yellow"/>
        </w:rPr>
        <w:t xml:space="preserve"> Kahjuks alati ei suudeta ka koostöös </w:t>
      </w:r>
      <w:r w:rsidR="00A874E6">
        <w:rPr>
          <w:highlight w:val="yellow"/>
        </w:rPr>
        <w:t xml:space="preserve">spetsialistidega </w:t>
      </w:r>
      <w:r w:rsidR="00604AEF" w:rsidRPr="006D36F2">
        <w:rPr>
          <w:highlight w:val="yellow"/>
        </w:rPr>
        <w:t xml:space="preserve">muuta olemasolevates majades keldrid omaette tuletõkkesektsioonideks. Sellest johtuvalt on sättesse tehtud ka mööndus, et juhul, kui keldrist omaette tuletõkkesektsiooni moodustamine ei ole otstarbekas </w:t>
      </w:r>
      <w:r w:rsidR="0002729C">
        <w:rPr>
          <w:highlight w:val="yellow"/>
        </w:rPr>
        <w:t>või</w:t>
      </w:r>
      <w:r w:rsidR="0002729C" w:rsidRPr="006D36F2">
        <w:rPr>
          <w:highlight w:val="yellow"/>
        </w:rPr>
        <w:t xml:space="preserve"> </w:t>
      </w:r>
      <w:r w:rsidR="00604AEF" w:rsidRPr="006D36F2">
        <w:rPr>
          <w:highlight w:val="yellow"/>
        </w:rPr>
        <w:t xml:space="preserve">võimalik (näiteks maja vanuse või tuleohutusklassi või muude ehituslike eripärade </w:t>
      </w:r>
      <w:r w:rsidR="00604AEF" w:rsidRPr="006D36F2">
        <w:rPr>
          <w:highlight w:val="yellow"/>
        </w:rPr>
        <w:t>tõttu), siis tuleb hoone kasutajatel tahkeküttematerjali keldris ladustamisel tagada tuleohutus. Siinkohal on silmas peetud eelkõige, et tuleks olla eriliselt hoolas küttepuude koguse osas ja tagada võimalikult kiire tulekahju avastamine näiteks dubleerivate signaalidega andurite paigaldamisega.</w:t>
      </w:r>
      <w:r w:rsidR="003B0F39">
        <w:t xml:space="preserve"> </w:t>
      </w:r>
    </w:p>
    <w:p w14:paraId="3137CAB2" w14:textId="77777777" w:rsidR="005467E0" w:rsidRPr="006D36F2" w:rsidRDefault="005467E0" w:rsidP="000D0219">
      <w:pPr>
        <w:pStyle w:val="NoSpacing"/>
        <w:jc w:val="both"/>
        <w:rPr>
          <w:highlight w:val="yellow"/>
        </w:rPr>
      </w:pPr>
    </w:p>
    <w:p w14:paraId="2281DABA" w14:textId="0331D846" w:rsidR="00604AEF" w:rsidRDefault="005467E0" w:rsidP="000D0219">
      <w:pPr>
        <w:pStyle w:val="NoSpacing"/>
        <w:jc w:val="both"/>
      </w:pPr>
      <w:r>
        <w:rPr>
          <w:highlight w:val="yellow"/>
        </w:rPr>
        <w:t>K</w:t>
      </w:r>
      <w:r w:rsidR="00604AEF" w:rsidRPr="006D36F2">
        <w:rPr>
          <w:highlight w:val="yellow"/>
        </w:rPr>
        <w:t>ortermaja keldris küttepuude ladustami</w:t>
      </w:r>
      <w:r>
        <w:rPr>
          <w:highlight w:val="yellow"/>
        </w:rPr>
        <w:t>sel</w:t>
      </w:r>
      <w:r w:rsidR="00604AEF" w:rsidRPr="006D36F2">
        <w:rPr>
          <w:highlight w:val="yellow"/>
        </w:rPr>
        <w:t xml:space="preserve"> võib olemasolev keldri </w:t>
      </w:r>
      <w:proofErr w:type="spellStart"/>
      <w:r w:rsidR="00604AEF" w:rsidRPr="006D36F2">
        <w:rPr>
          <w:highlight w:val="yellow"/>
        </w:rPr>
        <w:t>eripõlemiskoormus</w:t>
      </w:r>
      <w:proofErr w:type="spellEnd"/>
      <w:r w:rsidR="00604AEF" w:rsidRPr="006D36F2">
        <w:rPr>
          <w:highlight w:val="yellow"/>
        </w:rPr>
        <w:t xml:space="preserve"> suurene</w:t>
      </w:r>
      <w:r>
        <w:rPr>
          <w:highlight w:val="yellow"/>
        </w:rPr>
        <w:t>da</w:t>
      </w:r>
      <w:r w:rsidR="00604AEF" w:rsidRPr="006D36F2">
        <w:rPr>
          <w:highlight w:val="yellow"/>
        </w:rPr>
        <w:t xml:space="preserve">, sest juba seal olevale (ja ka põlevale) materjalile tuleb nüüd lisa. Kõrgem </w:t>
      </w:r>
      <w:proofErr w:type="spellStart"/>
      <w:r w:rsidR="00604AEF" w:rsidRPr="006D36F2">
        <w:rPr>
          <w:highlight w:val="yellow"/>
        </w:rPr>
        <w:t>eripõlemiskoormus</w:t>
      </w:r>
      <w:proofErr w:type="spellEnd"/>
      <w:r w:rsidR="00604AEF" w:rsidRPr="006D36F2">
        <w:rPr>
          <w:highlight w:val="yellow"/>
        </w:rPr>
        <w:t xml:space="preserve"> võib tulekahju korral hakata kiiremini ja ettearvamatult mõjutama kandekonstruktsioone, nt vahelagesid, mis </w:t>
      </w:r>
      <w:r w:rsidR="0002729C">
        <w:rPr>
          <w:highlight w:val="yellow"/>
        </w:rPr>
        <w:t>puitmajas (</w:t>
      </w:r>
      <w:r w:rsidR="00604AEF" w:rsidRPr="006D36F2">
        <w:rPr>
          <w:highlight w:val="yellow"/>
        </w:rPr>
        <w:t>TP-3 hoone</w:t>
      </w:r>
      <w:r w:rsidR="0002729C">
        <w:rPr>
          <w:highlight w:val="yellow"/>
        </w:rPr>
        <w:t>)</w:t>
      </w:r>
      <w:r w:rsidR="00604AEF" w:rsidRPr="006D36F2">
        <w:rPr>
          <w:highlight w:val="yellow"/>
        </w:rPr>
        <w:t xml:space="preserve"> </w:t>
      </w:r>
      <w:r w:rsidR="0002729C" w:rsidRPr="006D36F2">
        <w:rPr>
          <w:highlight w:val="yellow"/>
        </w:rPr>
        <w:t xml:space="preserve">võivad </w:t>
      </w:r>
      <w:r w:rsidR="00604AEF" w:rsidRPr="006D36F2">
        <w:rPr>
          <w:highlight w:val="yellow"/>
        </w:rPr>
        <w:t xml:space="preserve">olla puidust. </w:t>
      </w:r>
      <w:r w:rsidR="006D36F2" w:rsidRPr="006D36F2">
        <w:rPr>
          <w:highlight w:val="yellow"/>
        </w:rPr>
        <w:t xml:space="preserve">Seega peaks selle sätte rakendamise eel kaaluma siiski ka muid võimalusi. </w:t>
      </w:r>
      <w:r w:rsidR="00604AEF" w:rsidRPr="006D36F2">
        <w:rPr>
          <w:highlight w:val="yellow"/>
        </w:rPr>
        <w:t xml:space="preserve">Sageli on selliste keldritega vanemate puumajade juures ka kuurid olemas ja seega pole kelder ainus koht, kus küttepuid ladustada. </w:t>
      </w:r>
      <w:r w:rsidR="006D36F2" w:rsidRPr="006D36F2">
        <w:rPr>
          <w:highlight w:val="yellow"/>
        </w:rPr>
        <w:t xml:space="preserve">Kivimajade puhul keldri </w:t>
      </w:r>
      <w:proofErr w:type="spellStart"/>
      <w:r w:rsidR="006D36F2" w:rsidRPr="006D36F2">
        <w:rPr>
          <w:highlight w:val="yellow"/>
        </w:rPr>
        <w:t>eripõlemiskoormuse</w:t>
      </w:r>
      <w:proofErr w:type="spellEnd"/>
      <w:r w:rsidR="006D36F2" w:rsidRPr="006D36F2">
        <w:rPr>
          <w:highlight w:val="yellow"/>
        </w:rPr>
        <w:t xml:space="preserve"> kasv nii tu</w:t>
      </w:r>
      <w:r w:rsidR="004F3A41">
        <w:rPr>
          <w:highlight w:val="yellow"/>
        </w:rPr>
        <w:t>g</w:t>
      </w:r>
      <w:r w:rsidR="006D36F2" w:rsidRPr="006D36F2">
        <w:rPr>
          <w:highlight w:val="yellow"/>
        </w:rPr>
        <w:t xml:space="preserve">evat mõju tulekahju arengule ei osuta, kuid esmalt tuleks siiski </w:t>
      </w:r>
      <w:r w:rsidR="0002729C">
        <w:rPr>
          <w:highlight w:val="yellow"/>
        </w:rPr>
        <w:t>sättest tulenevat erandit kohaldada</w:t>
      </w:r>
      <w:r w:rsidR="006D36F2" w:rsidRPr="006D36F2">
        <w:rPr>
          <w:highlight w:val="yellow"/>
        </w:rPr>
        <w:t xml:space="preserve"> juba olemasoleva tuletõkkesektsiooni korral või siiski püüda keldrist moodustada omaette tuletõkkesektsioon.</w:t>
      </w:r>
    </w:p>
    <w:p w14:paraId="39FD3CB4" w14:textId="77777777" w:rsidR="000D0219" w:rsidRDefault="000D0219" w:rsidP="000D0219">
      <w:pPr>
        <w:pStyle w:val="NoSpacing"/>
      </w:pPr>
    </w:p>
    <w:p w14:paraId="430E9F74" w14:textId="2F742250" w:rsidR="000D0219" w:rsidRDefault="000D0219" w:rsidP="000D0219">
      <w:pPr>
        <w:pStyle w:val="NoSpacing"/>
        <w:jc w:val="both"/>
      </w:pPr>
      <w:r w:rsidRPr="00240B71">
        <w:rPr>
          <w:b/>
          <w:bCs/>
          <w:color w:val="0070C0"/>
        </w:rPr>
        <w:t>Lõike 4</w:t>
      </w:r>
      <w:r w:rsidRPr="00BE6E18">
        <w:t xml:space="preserve"> </w:t>
      </w:r>
      <w:r>
        <w:t xml:space="preserve">kohaselt võib </w:t>
      </w:r>
      <w:r w:rsidRPr="0082499D">
        <w:rPr>
          <w:highlight w:val="yellow"/>
        </w:rPr>
        <w:t>tuleohtlikku vedelikku</w:t>
      </w:r>
      <w:r>
        <w:t xml:space="preserve"> ladustada </w:t>
      </w:r>
      <w:r w:rsidR="007343CF">
        <w:t xml:space="preserve">kuni kahe korteriga </w:t>
      </w:r>
      <w:r>
        <w:t>elu</w:t>
      </w:r>
      <w:r>
        <w:softHyphen/>
        <w:t xml:space="preserve">hoone keldris ja </w:t>
      </w:r>
      <w:r w:rsidRPr="005D1BD5">
        <w:t>eluhoone</w:t>
      </w:r>
      <w:r>
        <w:t>siseses</w:t>
      </w:r>
      <w:r w:rsidRPr="005D1BD5">
        <w:t xml:space="preserve"> </w:t>
      </w:r>
      <w:r>
        <w:t xml:space="preserve">garaažis koguses, mis on vajalik nende kasutamiseks eri seadmetes, ja viisil, mis ei raskenda päästetööd. </w:t>
      </w:r>
      <w:r w:rsidR="007343CF" w:rsidRPr="0082499D">
        <w:rPr>
          <w:highlight w:val="yellow"/>
        </w:rPr>
        <w:t>Tuleohtlikuks vedelikuks loetakse siinkohal peamiselt mootorikütust, aga ka näiteks lahusteid.</w:t>
      </w:r>
      <w:r w:rsidR="007343CF">
        <w:t xml:space="preserve"> </w:t>
      </w:r>
      <w:r>
        <w:t xml:space="preserve">Nõue on eelkõige elamutele ning lähtuda tuleks tervest mõistusest ja vältida </w:t>
      </w:r>
      <w:r w:rsidR="007343CF">
        <w:t xml:space="preserve">tuleohtliku vedeliku </w:t>
      </w:r>
      <w:r>
        <w:t xml:space="preserve">liigset </w:t>
      </w:r>
      <w:proofErr w:type="spellStart"/>
      <w:r>
        <w:t>kokkukuhjamist</w:t>
      </w:r>
      <w:proofErr w:type="spellEnd"/>
      <w:r>
        <w:t xml:space="preserve">. Suur kogus tuleohtlikku vedelikku võib keldris ja garaažis tulekahju levikut </w:t>
      </w:r>
      <w:r w:rsidRPr="005D1BD5">
        <w:t>oluliselt mõjutada</w:t>
      </w:r>
      <w:r>
        <w:t>. Samas võib ladustada suuremat kogust tuleohtlikku vedelikku, kui keldris või garaažis ei viibi püsivalt inimesi ning oht inimese elule ja tervisele on väiksem kui eluruumis. Ladustamise all mõeldakse aine hoiustamist keldris või garaažis eraldi kanistris. Garaažis auto kütusepaagis kütuse hoiustamist ei loeta ladustamiseks.</w:t>
      </w:r>
    </w:p>
    <w:p w14:paraId="23080BB8" w14:textId="77777777" w:rsidR="000D0219" w:rsidRDefault="000D0219" w:rsidP="000D0219">
      <w:pPr>
        <w:pStyle w:val="NoSpacing"/>
        <w:jc w:val="both"/>
      </w:pPr>
    </w:p>
    <w:p w14:paraId="06B65EE0" w14:textId="0041DF98" w:rsidR="000D0219" w:rsidRDefault="007343CF" w:rsidP="000D0219">
      <w:pPr>
        <w:pStyle w:val="NoSpacing"/>
        <w:jc w:val="both"/>
      </w:pPr>
      <w:r>
        <w:t xml:space="preserve">Rohkem kui kahe </w:t>
      </w:r>
      <w:r w:rsidR="000D0219">
        <w:t xml:space="preserve">korteriga elamu keldris ja </w:t>
      </w:r>
      <w:r w:rsidR="000D0219" w:rsidRPr="00966976">
        <w:t>elamu</w:t>
      </w:r>
      <w:r w:rsidR="000D0219">
        <w:t xml:space="preserve">siseses garaažis võib ladustada tuleohtlikku vedelikku koguses kuni viis liitrit korteri kohta tingimusel, et neid ladustatakse eraldi </w:t>
      </w:r>
      <w:r w:rsidR="000D0219">
        <w:t>pakendites</w:t>
      </w:r>
      <w:r w:rsidR="007377F3">
        <w:t xml:space="preserve"> </w:t>
      </w:r>
      <w:r w:rsidR="007377F3" w:rsidRPr="007377F3">
        <w:rPr>
          <w:highlight w:val="yellow"/>
        </w:rPr>
        <w:t>ja eraldi kohtades</w:t>
      </w:r>
      <w:r w:rsidR="000D0219">
        <w:t>. See tähendab, et ühe suure mahuti asemel tuleb kasutada mitut väiksemat kanistrit</w:t>
      </w:r>
      <w:r w:rsidR="007377F3" w:rsidRPr="007377F3">
        <w:rPr>
          <w:highlight w:val="yellow"/>
        </w:rPr>
        <w:t xml:space="preserve">, mida keldris </w:t>
      </w:r>
      <w:r w:rsidR="0002729C">
        <w:rPr>
          <w:highlight w:val="yellow"/>
        </w:rPr>
        <w:t>tuleb hoida</w:t>
      </w:r>
      <w:r w:rsidR="0002729C" w:rsidRPr="007377F3">
        <w:rPr>
          <w:highlight w:val="yellow"/>
        </w:rPr>
        <w:t xml:space="preserve"> </w:t>
      </w:r>
      <w:r w:rsidR="007377F3" w:rsidRPr="007377F3">
        <w:rPr>
          <w:highlight w:val="yellow"/>
        </w:rPr>
        <w:t>hajutatult</w:t>
      </w:r>
      <w:r w:rsidR="000D0219" w:rsidRPr="007377F3">
        <w:rPr>
          <w:highlight w:val="yellow"/>
        </w:rPr>
        <w:t>.</w:t>
      </w:r>
      <w:r w:rsidR="000D0219">
        <w:t xml:space="preserve"> </w:t>
      </w:r>
      <w:r w:rsidR="007377F3" w:rsidRPr="007377F3">
        <w:rPr>
          <w:highlight w:val="yellow"/>
        </w:rPr>
        <w:t>Vältida tuleks ka seda, et selliseid kanistreid ei ladustataks keldri ühiskasutuses olevates ruumides</w:t>
      </w:r>
      <w:r w:rsidR="0002729C">
        <w:rPr>
          <w:highlight w:val="yellow"/>
        </w:rPr>
        <w:t>.</w:t>
      </w:r>
      <w:r w:rsidR="007377F3" w:rsidRPr="007377F3">
        <w:rPr>
          <w:highlight w:val="yellow"/>
        </w:rPr>
        <w:t xml:space="preserve"> </w:t>
      </w:r>
      <w:r w:rsidR="0002729C">
        <w:rPr>
          <w:highlight w:val="yellow"/>
        </w:rPr>
        <w:t>K</w:t>
      </w:r>
      <w:r w:rsidR="007377F3" w:rsidRPr="007377F3">
        <w:rPr>
          <w:highlight w:val="yellow"/>
        </w:rPr>
        <w:t xml:space="preserve">una kogus on seotud korteriga, siis </w:t>
      </w:r>
      <w:r w:rsidR="0002729C">
        <w:rPr>
          <w:highlight w:val="yellow"/>
        </w:rPr>
        <w:t>eelnõu koostajad on silmas pidanud</w:t>
      </w:r>
      <w:r w:rsidR="007377F3" w:rsidRPr="007377F3">
        <w:rPr>
          <w:highlight w:val="yellow"/>
        </w:rPr>
        <w:t>, et seda kogust hoitakse korteri keldriboksis.</w:t>
      </w:r>
      <w:r w:rsidR="007377F3">
        <w:t xml:space="preserve"> </w:t>
      </w:r>
      <w:r w:rsidR="000D0219">
        <w:t>Kehtiva määruse § 2 lõike 3 nõue on seotud aine kogusega, mille võimaliku põlemise korral saaks selle kustutada</w:t>
      </w:r>
      <w:r w:rsidR="000D0219" w:rsidRPr="00600BF6">
        <w:t xml:space="preserve"> esmaste tulekustutusvahenditega</w:t>
      </w:r>
      <w:r w:rsidR="000D0219">
        <w:t>, ja mitme korteriga elamu puhul on lisaks kogusele määratud ära ka aine leekpunkt. Eelnõu koostajate hinnangul on sellised kitsendused pigem subjektiivsed ja on tekitanud juba eos vaidlusi. Iga elanik, kes paigutab keldrisse või garaaži suure koguse tuleohtlikku vedelikku, seab ohtu hoone elanikud. Seega on arusaadav, et sellist ladustamist on vaja piirata, kuid piirang peab olema selge ja võimalikult väheste lisatingimustega.</w:t>
      </w:r>
    </w:p>
    <w:p w14:paraId="1D62605D" w14:textId="77777777" w:rsidR="000D0219" w:rsidRDefault="000D0219" w:rsidP="000D0219">
      <w:pPr>
        <w:pStyle w:val="NoSpacing"/>
        <w:jc w:val="both"/>
      </w:pPr>
    </w:p>
    <w:p w14:paraId="621790F9" w14:textId="374062E0" w:rsidR="000D0219" w:rsidRDefault="000D0219" w:rsidP="000D0219">
      <w:pPr>
        <w:pStyle w:val="NoSpacing"/>
        <w:jc w:val="both"/>
      </w:pPr>
      <w:r w:rsidRPr="00240B71">
        <w:rPr>
          <w:b/>
          <w:bCs/>
          <w:color w:val="0070C0"/>
        </w:rPr>
        <w:t>Lõike 5</w:t>
      </w:r>
      <w:r w:rsidRPr="00BE6E18">
        <w:t xml:space="preserve"> </w:t>
      </w:r>
      <w:r>
        <w:t xml:space="preserve">kohaselt ei tohi ehitises ladustada </w:t>
      </w:r>
      <w:r w:rsidR="007343CF" w:rsidRPr="0082499D">
        <w:rPr>
          <w:highlight w:val="yellow"/>
        </w:rPr>
        <w:t>tuleohtlikku vedelikku</w:t>
      </w:r>
      <w:r w:rsidR="007343CF">
        <w:t xml:space="preserve"> ja </w:t>
      </w:r>
      <w:r>
        <w:t xml:space="preserve">tuleohtlikku gaasi, mille </w:t>
      </w:r>
      <w:r w:rsidR="007343CF" w:rsidRPr="0082499D">
        <w:rPr>
          <w:highlight w:val="yellow"/>
        </w:rPr>
        <w:t xml:space="preserve">mahutil või </w:t>
      </w:r>
      <w:r w:rsidRPr="0082499D">
        <w:rPr>
          <w:highlight w:val="yellow"/>
        </w:rPr>
        <w:t>pakendil</w:t>
      </w:r>
      <w:r>
        <w:t xml:space="preserve"> on lekkimise tunnused. Nõue aitab otseselt minimeerida võimalikke ohte. </w:t>
      </w:r>
      <w:r w:rsidR="007343CF" w:rsidRPr="0082499D">
        <w:rPr>
          <w:highlight w:val="yellow"/>
        </w:rPr>
        <w:t>Tuleohtliku vedeliku</w:t>
      </w:r>
      <w:r w:rsidR="007343CF">
        <w:t xml:space="preserve"> </w:t>
      </w:r>
      <w:r>
        <w:t xml:space="preserve">ja </w:t>
      </w:r>
      <w:r w:rsidR="007343CF">
        <w:t>tuleohtliku gaasi</w:t>
      </w:r>
      <w:r>
        <w:t xml:space="preserve"> ladustamiseks tuleb kasutada selleks ettenähtud ja </w:t>
      </w:r>
      <w:r>
        <w:lastRenderedPageBreak/>
        <w:t xml:space="preserve">tervet </w:t>
      </w:r>
      <w:r w:rsidR="007343CF" w:rsidRPr="0082499D">
        <w:rPr>
          <w:highlight w:val="yellow"/>
        </w:rPr>
        <w:t xml:space="preserve">mahutit või </w:t>
      </w:r>
      <w:r w:rsidRPr="0082499D">
        <w:rPr>
          <w:highlight w:val="yellow"/>
        </w:rPr>
        <w:t>pakendit</w:t>
      </w:r>
      <w:r>
        <w:t xml:space="preserve">. Kui soovitakse kasutada muud </w:t>
      </w:r>
      <w:r w:rsidR="00A54BA1" w:rsidRPr="0082499D">
        <w:rPr>
          <w:highlight w:val="yellow"/>
        </w:rPr>
        <w:t xml:space="preserve">mahutit või </w:t>
      </w:r>
      <w:r w:rsidRPr="0082499D">
        <w:rPr>
          <w:highlight w:val="yellow"/>
        </w:rPr>
        <w:t>pakendit</w:t>
      </w:r>
      <w:r>
        <w:t xml:space="preserve">, peab </w:t>
      </w:r>
      <w:proofErr w:type="spellStart"/>
      <w:r>
        <w:t>ladustaja</w:t>
      </w:r>
      <w:proofErr w:type="spellEnd"/>
      <w:r>
        <w:t xml:space="preserve"> olema veendunud, et see on terve ja sobiv </w:t>
      </w:r>
      <w:r w:rsidR="00A54BA1">
        <w:t xml:space="preserve">valitud </w:t>
      </w:r>
      <w:r>
        <w:t>aine ladustamiseks.</w:t>
      </w:r>
    </w:p>
    <w:p w14:paraId="3D217B58" w14:textId="77777777" w:rsidR="000D0219" w:rsidRDefault="000D0219" w:rsidP="000D0219">
      <w:pPr>
        <w:pStyle w:val="NoSpacing"/>
      </w:pPr>
    </w:p>
    <w:p w14:paraId="4885C578" w14:textId="56534437" w:rsidR="000D0219" w:rsidRDefault="000D0219" w:rsidP="000D0219">
      <w:pPr>
        <w:pStyle w:val="NoSpacing"/>
        <w:jc w:val="both"/>
      </w:pPr>
      <w:r w:rsidRPr="00240B71">
        <w:rPr>
          <w:b/>
          <w:bCs/>
          <w:color w:val="0070C0"/>
        </w:rPr>
        <w:t>Lõike 6</w:t>
      </w:r>
      <w:r w:rsidRPr="00BE6E18">
        <w:t xml:space="preserve"> kohaselt </w:t>
      </w:r>
      <w:r>
        <w:t>võib generaatoriruumi kuni 3 m</w:t>
      </w:r>
      <w:r w:rsidRPr="005722D0">
        <w:rPr>
          <w:vertAlign w:val="superscript"/>
        </w:rPr>
        <w:t>3</w:t>
      </w:r>
      <w:r w:rsidRPr="00240B71">
        <w:t xml:space="preserve"> </w:t>
      </w:r>
      <w:r>
        <w:t>mahutavusega kütusemahuti paikneda generaatoriga samas tuletõkkesektsioonis. Nõue on võimalikule generaatorile, mis paigutatakse keldrisse. Generaator vajab tööks kütust ja ei ole praktiline, kui kütus asub mujal. Keldri generaatoriruum peab olema eraldi tuletõkkesektsioonis – vaid sellisel juhul saab generaatori juures hoida ka vajalikku kütust. Kui keldrist pole moodustatud eraldi tuletõkkesektsiooni, tuleb seda teha enne, kui generaator sinna paigutatakse.</w:t>
      </w:r>
    </w:p>
    <w:p w14:paraId="7277AFB3" w14:textId="77777777" w:rsidR="00C06CC1" w:rsidRDefault="00C06CC1" w:rsidP="000D0219">
      <w:pPr>
        <w:pStyle w:val="NoSpacing"/>
        <w:jc w:val="both"/>
      </w:pPr>
    </w:p>
    <w:p w14:paraId="2FC795A0" w14:textId="45C5B8F1" w:rsidR="00C06CC1" w:rsidRPr="00C06CC1" w:rsidRDefault="00C06CC1" w:rsidP="00C06CC1">
      <w:pPr>
        <w:pStyle w:val="NoSpacing"/>
        <w:jc w:val="both"/>
        <w:rPr>
          <w:highlight w:val="yellow"/>
        </w:rPr>
      </w:pPr>
      <w:r w:rsidRPr="00C06CC1">
        <w:rPr>
          <w:b/>
          <w:bCs/>
          <w:color w:val="0070C0"/>
          <w:highlight w:val="yellow"/>
        </w:rPr>
        <w:t>Lõike 7</w:t>
      </w:r>
      <w:r w:rsidRPr="00C06CC1">
        <w:rPr>
          <w:highlight w:val="yellow"/>
        </w:rPr>
        <w:t xml:space="preserve"> kohaselt ei </w:t>
      </w:r>
      <w:r w:rsidR="0002729C">
        <w:rPr>
          <w:highlight w:val="yellow"/>
        </w:rPr>
        <w:t xml:space="preserve">tohi </w:t>
      </w:r>
      <w:r w:rsidRPr="00C06CC1">
        <w:rPr>
          <w:highlight w:val="yellow"/>
        </w:rPr>
        <w:t>ladusta</w:t>
      </w:r>
      <w:r w:rsidR="0002729C">
        <w:rPr>
          <w:highlight w:val="yellow"/>
        </w:rPr>
        <w:t>d</w:t>
      </w:r>
      <w:r w:rsidRPr="00C06CC1">
        <w:rPr>
          <w:highlight w:val="yellow"/>
        </w:rPr>
        <w:t>a põlevmaterjali elektrijaotla või elektrijaotuspunkti sees, all, peal ega vastas. Ka kehtiva määruse §-s 6 on sama nõue, mille eesmärk</w:t>
      </w:r>
      <w:r w:rsidR="0002729C">
        <w:rPr>
          <w:highlight w:val="yellow"/>
        </w:rPr>
        <w:t xml:space="preserve"> on</w:t>
      </w:r>
      <w:r w:rsidRPr="00C06CC1">
        <w:rPr>
          <w:highlight w:val="yellow"/>
        </w:rPr>
        <w:t xml:space="preserve"> vähendada riski, et elektri</w:t>
      </w:r>
      <w:r w:rsidRPr="00C06CC1">
        <w:rPr>
          <w:highlight w:val="yellow"/>
        </w:rPr>
        <w:softHyphen/>
        <w:t>seadeldiste võimaliku ülekuumenemise või muu rikke tõttu süttib põlevmaterjal ja tekib tule</w:t>
      </w:r>
      <w:r w:rsidRPr="00C06CC1">
        <w:rPr>
          <w:highlight w:val="yellow"/>
        </w:rPr>
        <w:softHyphen/>
        <w:t>kahju. Elektrijaotlana saab käsitada elektriruumi või -ala, mis sisaldab üht või mitut jaotus</w:t>
      </w:r>
      <w:r w:rsidRPr="00C06CC1">
        <w:rPr>
          <w:highlight w:val="yellow"/>
        </w:rPr>
        <w:softHyphen/>
        <w:t>seadet, näiteks elektrikilpi või -sektsiooni. Elektrijaotla võib olla nii hoone sees kui ka väljas. Kõige tüüpilisem elektrijaotla on alajaam või hoone elektriruum, kus paiknevad elektrikilbid. Elektrijaotuspunkt on elektrikilp ehk elektrikooste.</w:t>
      </w:r>
    </w:p>
    <w:p w14:paraId="16C3EEF9" w14:textId="77777777" w:rsidR="00C06CC1" w:rsidRPr="00C06CC1" w:rsidRDefault="00C06CC1" w:rsidP="00C06CC1">
      <w:pPr>
        <w:pStyle w:val="NoSpacing"/>
        <w:jc w:val="both"/>
        <w:rPr>
          <w:highlight w:val="yellow"/>
        </w:rPr>
      </w:pPr>
    </w:p>
    <w:p w14:paraId="75B383BF" w14:textId="642F69B6" w:rsidR="00C06CC1" w:rsidRDefault="00C06CC1" w:rsidP="00C06CC1">
      <w:pPr>
        <w:pStyle w:val="NoSpacing"/>
        <w:jc w:val="both"/>
      </w:pPr>
      <w:r w:rsidRPr="00C06CC1">
        <w:rPr>
          <w:b/>
          <w:bCs/>
          <w:color w:val="0070C0"/>
          <w:highlight w:val="yellow"/>
        </w:rPr>
        <w:t>Lõike 8</w:t>
      </w:r>
      <w:r w:rsidRPr="00C06CC1">
        <w:rPr>
          <w:highlight w:val="yellow"/>
        </w:rPr>
        <w:t xml:space="preserve"> kohaselt ei </w:t>
      </w:r>
      <w:r w:rsidR="00D66C00">
        <w:rPr>
          <w:highlight w:val="yellow"/>
        </w:rPr>
        <w:t xml:space="preserve">tohi </w:t>
      </w:r>
      <w:r w:rsidRPr="00C06CC1">
        <w:rPr>
          <w:highlight w:val="yellow"/>
        </w:rPr>
        <w:t>ladusta</w:t>
      </w:r>
      <w:r w:rsidR="00D66C00">
        <w:rPr>
          <w:highlight w:val="yellow"/>
        </w:rPr>
        <w:t>d</w:t>
      </w:r>
      <w:r w:rsidRPr="00C06CC1">
        <w:rPr>
          <w:highlight w:val="yellow"/>
        </w:rPr>
        <w:t xml:space="preserve">a põlevmaterjali hoone tehnosüsteemi ruumis </w:t>
      </w:r>
      <w:r w:rsidR="00D66C00">
        <w:rPr>
          <w:highlight w:val="yellow"/>
        </w:rPr>
        <w:t>ega</w:t>
      </w:r>
      <w:r w:rsidR="00D66C00" w:rsidRPr="00C06CC1">
        <w:rPr>
          <w:highlight w:val="yellow"/>
        </w:rPr>
        <w:t xml:space="preserve"> </w:t>
      </w:r>
      <w:r w:rsidRPr="00C06CC1">
        <w:rPr>
          <w:highlight w:val="yellow"/>
        </w:rPr>
        <w:t xml:space="preserve">tehnosüsteemide sõlmpunktis, </w:t>
      </w:r>
      <w:r w:rsidR="00D66C00">
        <w:rPr>
          <w:highlight w:val="yellow"/>
        </w:rPr>
        <w:t>sealhulgas</w:t>
      </w:r>
      <w:r w:rsidR="00D66C00" w:rsidRPr="00C06CC1">
        <w:rPr>
          <w:highlight w:val="yellow"/>
        </w:rPr>
        <w:t xml:space="preserve"> </w:t>
      </w:r>
      <w:r w:rsidRPr="00C06CC1">
        <w:rPr>
          <w:highlight w:val="yellow"/>
        </w:rPr>
        <w:t>ventilatsiooniruumis, nõrkvooluruumis, serveriruumis või veemõõdu</w:t>
      </w:r>
      <w:r w:rsidRPr="00C06CC1">
        <w:rPr>
          <w:highlight w:val="yellow"/>
        </w:rPr>
        <w:softHyphen/>
        <w:t>sõlmes</w:t>
      </w:r>
      <w:r w:rsidRPr="007377F3">
        <w:rPr>
          <w:highlight w:val="yellow"/>
        </w:rPr>
        <w:t xml:space="preserve">. </w:t>
      </w:r>
      <w:r w:rsidR="007377F3" w:rsidRPr="007377F3">
        <w:rPr>
          <w:highlight w:val="yellow"/>
        </w:rPr>
        <w:t>Samuti ei ladustata põlevmaterjali näiteks päästemeeskonna infopunktis või akuruumis.</w:t>
      </w:r>
      <w:r w:rsidR="007377F3">
        <w:t xml:space="preserve"> </w:t>
      </w:r>
      <w:r w:rsidR="00B33AB7" w:rsidRPr="00B33AB7">
        <w:rPr>
          <w:highlight w:val="yellow"/>
        </w:rPr>
        <w:t xml:space="preserve">Põlevmaterjali </w:t>
      </w:r>
      <w:r w:rsidR="00B33AB7">
        <w:rPr>
          <w:highlight w:val="yellow"/>
        </w:rPr>
        <w:t>sellistes kohtades</w:t>
      </w:r>
      <w:r w:rsidR="00B33AB7" w:rsidRPr="00B33AB7">
        <w:rPr>
          <w:highlight w:val="yellow"/>
        </w:rPr>
        <w:t xml:space="preserve"> hoidmine suurendab tulekahju korral </w:t>
      </w:r>
      <w:r w:rsidR="00B33AB7">
        <w:rPr>
          <w:highlight w:val="yellow"/>
        </w:rPr>
        <w:t xml:space="preserve">nende kohtade </w:t>
      </w:r>
      <w:proofErr w:type="spellStart"/>
      <w:r w:rsidR="00B33AB7">
        <w:rPr>
          <w:highlight w:val="yellow"/>
        </w:rPr>
        <w:t>eri</w:t>
      </w:r>
      <w:r w:rsidR="00B33AB7" w:rsidRPr="00B33AB7">
        <w:rPr>
          <w:highlight w:val="yellow"/>
        </w:rPr>
        <w:t>põlemiskoormust</w:t>
      </w:r>
      <w:proofErr w:type="spellEnd"/>
      <w:r w:rsidR="00B33AB7" w:rsidRPr="00B33AB7">
        <w:rPr>
          <w:highlight w:val="yellow"/>
        </w:rPr>
        <w:t xml:space="preserve">, mis omakorda kahjustab seadmeid või </w:t>
      </w:r>
      <w:r w:rsidR="00D66C00">
        <w:rPr>
          <w:highlight w:val="yellow"/>
        </w:rPr>
        <w:t>raskendab</w:t>
      </w:r>
      <w:r w:rsidR="00D66C00" w:rsidRPr="00B33AB7">
        <w:rPr>
          <w:highlight w:val="yellow"/>
        </w:rPr>
        <w:t xml:space="preserve"> </w:t>
      </w:r>
      <w:r w:rsidR="00B33AB7" w:rsidRPr="00B33AB7">
        <w:rPr>
          <w:highlight w:val="yellow"/>
        </w:rPr>
        <w:t>päästetööde tegemist.</w:t>
      </w:r>
      <w:r w:rsidR="00110132">
        <w:t xml:space="preserve"> </w:t>
      </w:r>
    </w:p>
    <w:p w14:paraId="4EF57904" w14:textId="77777777" w:rsidR="000D0219" w:rsidRDefault="000D0219" w:rsidP="000D0219">
      <w:pPr>
        <w:pStyle w:val="NoSpacing"/>
        <w:jc w:val="both"/>
        <w:rPr>
          <w:b/>
          <w:bCs/>
        </w:rPr>
      </w:pPr>
    </w:p>
    <w:p w14:paraId="3A3061ED" w14:textId="7A0C3128" w:rsidR="000D0219" w:rsidRPr="00B701C8" w:rsidRDefault="000D0219" w:rsidP="000D0219">
      <w:pPr>
        <w:pStyle w:val="NoSpacing"/>
        <w:jc w:val="both"/>
      </w:pPr>
      <w:bookmarkStart w:id="9" w:name="_Toc149306196"/>
      <w:r w:rsidRPr="00BE6E18">
        <w:rPr>
          <w:rStyle w:val="Heading3Char"/>
        </w:rPr>
        <w:t xml:space="preserve">Eelnõu §-s </w:t>
      </w:r>
      <w:bookmarkEnd w:id="9"/>
      <w:r w:rsidR="00832E28">
        <w:rPr>
          <w:rStyle w:val="Heading3Char"/>
        </w:rPr>
        <w:t>5</w:t>
      </w:r>
      <w:r w:rsidRPr="00B701C8">
        <w:t xml:space="preserve"> sätestatakse nõuded </w:t>
      </w:r>
      <w:r>
        <w:t>p</w:t>
      </w:r>
      <w:r w:rsidRPr="00EF2AE3">
        <w:t>õlevmaterjali ladustami</w:t>
      </w:r>
      <w:r>
        <w:t>sele</w:t>
      </w:r>
      <w:r w:rsidRPr="00EF2AE3">
        <w:t xml:space="preserve"> küttesüsteemi ja muu </w:t>
      </w:r>
      <w:r>
        <w:t xml:space="preserve">kuuma välispinnaga </w:t>
      </w:r>
      <w:r w:rsidRPr="00EF2AE3">
        <w:t>seadme läheduses</w:t>
      </w:r>
      <w:r w:rsidRPr="00B701C8">
        <w:t>.</w:t>
      </w:r>
      <w:r>
        <w:t xml:space="preserve"> Kuna küttesüsteem või muu kuuma välispinnaga </w:t>
      </w:r>
      <w:r w:rsidRPr="00EA2260">
        <w:t>seade</w:t>
      </w:r>
      <w:r>
        <w:t xml:space="preserve"> võib kuumeneda temperatuurini, kus selle läheduses põlevmaterjal võib soojuskiirguse tagajärjel süttida, on oluline sätestada vajalikud tuleohutusnõuded põlevmaterjali sellisele ladustamisele.</w:t>
      </w:r>
    </w:p>
    <w:p w14:paraId="6D2981E8" w14:textId="77777777" w:rsidR="000D0219" w:rsidRPr="00B701C8" w:rsidRDefault="000D0219" w:rsidP="000D0219">
      <w:pPr>
        <w:pStyle w:val="NoSpacing"/>
        <w:jc w:val="both"/>
      </w:pPr>
    </w:p>
    <w:p w14:paraId="6C69A60D" w14:textId="77777777" w:rsidR="000D0219" w:rsidRDefault="000D0219" w:rsidP="000D0219">
      <w:pPr>
        <w:pStyle w:val="NoSpacing"/>
        <w:jc w:val="both"/>
      </w:pPr>
      <w:r w:rsidRPr="00240B71">
        <w:rPr>
          <w:b/>
          <w:color w:val="0070C0"/>
        </w:rPr>
        <w:t>Lõike 1</w:t>
      </w:r>
      <w:r w:rsidRPr="00BE6E18">
        <w:t xml:space="preserve"> kohaselt </w:t>
      </w:r>
      <w:r>
        <w:t>ladustatakse põlevmaterjali, sealhulgas küttematerjali ja riietusesemeid, kütte</w:t>
      </w:r>
      <w:r>
        <w:softHyphen/>
        <w:t>süsteemist või muust kuuma välispinnaga seadmest ohutus kauguses.</w:t>
      </w:r>
      <w:r w:rsidRPr="00BF7A55">
        <w:t xml:space="preserve"> Väga levinud tule</w:t>
      </w:r>
      <w:r>
        <w:softHyphen/>
      </w:r>
      <w:r w:rsidRPr="00BF7A55">
        <w:t>ohutusnõuete rikkumi</w:t>
      </w:r>
      <w:r>
        <w:t>ne</w:t>
      </w:r>
      <w:r w:rsidRPr="00BF7A55">
        <w:t xml:space="preserve"> on näiteks küttepuude </w:t>
      </w:r>
      <w:r>
        <w:t>ladustamine</w:t>
      </w:r>
      <w:r w:rsidRPr="00BF7A55">
        <w:t xml:space="preserve"> ahju või kamina kuuma välispinna vast</w:t>
      </w:r>
      <w:r>
        <w:t>as. N</w:t>
      </w:r>
      <w:r w:rsidRPr="00BF7A55">
        <w:t>iiskete küttepuude kuivatamine kütteseadme välispinnal võib põhjustada tulekahju. Samuti võib põhjustada tulekahju</w:t>
      </w:r>
      <w:r>
        <w:t xml:space="preserve"> tekstiilist </w:t>
      </w:r>
      <w:r w:rsidRPr="00BF7A55">
        <w:t xml:space="preserve">esemete </w:t>
      </w:r>
      <w:r>
        <w:t>ladustamine</w:t>
      </w:r>
      <w:r w:rsidRPr="00BF7A55">
        <w:t xml:space="preserve"> kütteseadme kuumal välis</w:t>
      </w:r>
      <w:r>
        <w:softHyphen/>
      </w:r>
      <w:r w:rsidRPr="00BF7A55">
        <w:t>pinnal</w:t>
      </w:r>
      <w:r>
        <w:t>.</w:t>
      </w:r>
      <w:r w:rsidRPr="00BF7A55">
        <w:t xml:space="preserve"> </w:t>
      </w:r>
      <w:r>
        <w:t xml:space="preserve">Seega on oluline, et küttematerjali ega riietusesemeid ei ladustataks ahju, kamina või pliidi vahetus läheduses. Küttepuid võib enne kasutamist hoida toas, kuna kuivadel küttepuudel on märksa parem kütteväärtus ja need hoiavad ka ahju korras. Seda tuleb aga teha </w:t>
      </w:r>
      <w:r w:rsidRPr="00D060E9">
        <w:t>kütte</w:t>
      </w:r>
      <w:r>
        <w:softHyphen/>
        <w:t>süsteemist eemal</w:t>
      </w:r>
      <w:r w:rsidRPr="00BF7A55">
        <w:t>.</w:t>
      </w:r>
    </w:p>
    <w:p w14:paraId="2C143BD5" w14:textId="77777777" w:rsidR="000D0219" w:rsidRDefault="000D0219" w:rsidP="000D0219">
      <w:pPr>
        <w:pStyle w:val="NoSpacing"/>
        <w:jc w:val="both"/>
      </w:pPr>
    </w:p>
    <w:p w14:paraId="1F481EA4" w14:textId="41B85E95" w:rsidR="000D0219" w:rsidRDefault="000D0219" w:rsidP="000D0219">
      <w:pPr>
        <w:pStyle w:val="NoSpacing"/>
        <w:jc w:val="both"/>
      </w:pPr>
      <w:r w:rsidRPr="00240B71">
        <w:rPr>
          <w:b/>
          <w:bCs/>
          <w:color w:val="0070C0"/>
        </w:rPr>
        <w:t>Lõike 2</w:t>
      </w:r>
      <w:r w:rsidRPr="00BE6E18">
        <w:t xml:space="preserve"> </w:t>
      </w:r>
      <w:r>
        <w:t xml:space="preserve">kohaselt määratakse põlevmaterjali ohutu kaugus küttesüsteemist või muust kuuma välispinnaga seadmest küttesüsteemi või muu kuuma välispinnaga seadme või selle komponendi tootja kasutusjuhendi järgi. </w:t>
      </w:r>
      <w:r w:rsidRPr="00BF7A55">
        <w:t xml:space="preserve">Kui sellist kasutusjuhendit ei ole, tuleb arvestada </w:t>
      </w:r>
      <w:r>
        <w:t>eelnõu</w:t>
      </w:r>
      <w:r w:rsidRPr="00BF7A55">
        <w:t xml:space="preserve"> li</w:t>
      </w:r>
      <w:r>
        <w:t>sas 1 „Põlevmaterjali ohutu kaugus</w:t>
      </w:r>
      <w:r w:rsidRPr="00BF7A55">
        <w:t xml:space="preserve"> küttesüsteemi ja muu kuuma välispinnaga seadme välispinnast“ toodud </w:t>
      </w:r>
      <w:r>
        <w:t>ohutuid vahemaid</w:t>
      </w:r>
      <w:r w:rsidRPr="00BF7A55">
        <w:t xml:space="preserve">. </w:t>
      </w:r>
      <w:r>
        <w:t>Eelnõu l</w:t>
      </w:r>
      <w:r w:rsidRPr="00BF7A55">
        <w:t xml:space="preserve">isa 1 väljatöötamisel on arvestatud standardi </w:t>
      </w:r>
      <w:r w:rsidRPr="007E1B23">
        <w:t>EVS 812-3:2007 „Ehitiste tuleohutus. Küttesüsteemid</w:t>
      </w:r>
      <w:r>
        <w:t>“</w:t>
      </w:r>
      <w:r w:rsidRPr="00BF7A55">
        <w:t xml:space="preserve"> põhimõtteid, kuid nõudeid on lihtsustatud. </w:t>
      </w:r>
      <w:r w:rsidR="001E177B" w:rsidRPr="001E177B">
        <w:rPr>
          <w:highlight w:val="yellow"/>
        </w:rPr>
        <w:t>Lisas 1 nimetatud mõõdukalt kuuma välispinnaga</w:t>
      </w:r>
      <w:r w:rsidR="001E177B" w:rsidRPr="001E177B">
        <w:t xml:space="preserve"> </w:t>
      </w:r>
      <w:r w:rsidRPr="001E177B">
        <w:rPr>
          <w:highlight w:val="yellow"/>
        </w:rPr>
        <w:t>küttesüsteem</w:t>
      </w:r>
      <w:r w:rsidR="001E177B" w:rsidRPr="001E177B">
        <w:rPr>
          <w:highlight w:val="yellow"/>
        </w:rPr>
        <w:t>i hulka saab</w:t>
      </w:r>
      <w:r w:rsidRPr="001E177B">
        <w:rPr>
          <w:highlight w:val="yellow"/>
        </w:rPr>
        <w:t xml:space="preserve"> muu hulgas </w:t>
      </w:r>
      <w:r w:rsidR="001E177B" w:rsidRPr="001E177B">
        <w:rPr>
          <w:highlight w:val="yellow"/>
        </w:rPr>
        <w:t xml:space="preserve">lugeda ka </w:t>
      </w:r>
      <w:r w:rsidRPr="001E177B">
        <w:rPr>
          <w:highlight w:val="yellow"/>
        </w:rPr>
        <w:t>korteri keskkütteradiaator</w:t>
      </w:r>
      <w:r w:rsidR="001E177B" w:rsidRPr="001E177B">
        <w:rPr>
          <w:highlight w:val="yellow"/>
        </w:rPr>
        <w:t>it, kuid</w:t>
      </w:r>
      <w:r w:rsidRPr="001E177B">
        <w:rPr>
          <w:highlight w:val="yellow"/>
        </w:rPr>
        <w:t xml:space="preserve"> ohutu kauguse kehtestamine </w:t>
      </w:r>
      <w:r w:rsidR="001E177B" w:rsidRPr="001E177B">
        <w:rPr>
          <w:highlight w:val="yellow"/>
        </w:rPr>
        <w:t xml:space="preserve">sellisele </w:t>
      </w:r>
      <w:r w:rsidR="001E177B">
        <w:rPr>
          <w:highlight w:val="yellow"/>
        </w:rPr>
        <w:t>seadmele</w:t>
      </w:r>
      <w:r w:rsidR="001E177B" w:rsidRPr="001E177B">
        <w:rPr>
          <w:highlight w:val="yellow"/>
        </w:rPr>
        <w:t xml:space="preserve"> </w:t>
      </w:r>
      <w:r w:rsidRPr="001E177B">
        <w:rPr>
          <w:highlight w:val="yellow"/>
        </w:rPr>
        <w:t xml:space="preserve">piiraks </w:t>
      </w:r>
      <w:r w:rsidR="001E177B" w:rsidRPr="001E177B">
        <w:rPr>
          <w:highlight w:val="yellow"/>
        </w:rPr>
        <w:t>oluliselt</w:t>
      </w:r>
      <w:r w:rsidRPr="001E177B">
        <w:rPr>
          <w:highlight w:val="yellow"/>
        </w:rPr>
        <w:t xml:space="preserve"> </w:t>
      </w:r>
      <w:r w:rsidR="001E177B">
        <w:rPr>
          <w:highlight w:val="yellow"/>
        </w:rPr>
        <w:t xml:space="preserve">näiteks </w:t>
      </w:r>
      <w:r w:rsidRPr="001E177B">
        <w:rPr>
          <w:highlight w:val="yellow"/>
        </w:rPr>
        <w:t>kardinate paigutamist keskkütteradiaatori lähedusse või sellel pesu kuivatamist. S</w:t>
      </w:r>
      <w:r w:rsidR="001E177B" w:rsidRPr="001E177B">
        <w:rPr>
          <w:highlight w:val="yellow"/>
        </w:rPr>
        <w:t>eega ei ole kuja</w:t>
      </w:r>
      <w:r w:rsidRPr="001E177B">
        <w:rPr>
          <w:highlight w:val="yellow"/>
        </w:rPr>
        <w:t xml:space="preserve"> nõuet kehtesta</w:t>
      </w:r>
      <w:r w:rsidR="001E177B" w:rsidRPr="001E177B">
        <w:rPr>
          <w:highlight w:val="yellow"/>
        </w:rPr>
        <w:t xml:space="preserve">tud elektrilistele kütteseadmetele, keskkütte </w:t>
      </w:r>
      <w:r w:rsidR="001E177B" w:rsidRPr="001E177B">
        <w:rPr>
          <w:highlight w:val="yellow"/>
        </w:rPr>
        <w:lastRenderedPageBreak/>
        <w:t>radiaatoritele jms, kuid selliste seadmete kasutamisel tuleb alati juhinduda tootja juhistest</w:t>
      </w:r>
      <w:r w:rsidR="001E177B">
        <w:rPr>
          <w:highlight w:val="yellow"/>
        </w:rPr>
        <w:t>, et tagada ohutus</w:t>
      </w:r>
      <w:r w:rsidRPr="001E177B">
        <w:rPr>
          <w:highlight w:val="yellow"/>
        </w:rPr>
        <w:t>.</w:t>
      </w:r>
    </w:p>
    <w:p w14:paraId="2CCC3F43" w14:textId="77777777" w:rsidR="000D0219" w:rsidRDefault="000D0219" w:rsidP="000D0219">
      <w:pPr>
        <w:pStyle w:val="NoSpacing"/>
        <w:jc w:val="both"/>
        <w:rPr>
          <w:u w:val="single"/>
        </w:rPr>
      </w:pPr>
    </w:p>
    <w:p w14:paraId="32A3C455" w14:textId="77777777" w:rsidR="000D0219" w:rsidRDefault="000D0219" w:rsidP="000D0219">
      <w:pPr>
        <w:pStyle w:val="NoSpacing"/>
        <w:jc w:val="both"/>
      </w:pPr>
      <w:r w:rsidRPr="00240B71">
        <w:rPr>
          <w:b/>
          <w:bCs/>
          <w:color w:val="0070C0"/>
        </w:rPr>
        <w:t>Lõike 3</w:t>
      </w:r>
      <w:r w:rsidRPr="00240B71">
        <w:rPr>
          <w:color w:val="0070C0"/>
        </w:rPr>
        <w:t xml:space="preserve"> </w:t>
      </w:r>
      <w:r>
        <w:t>kohaselt kaitstakse põlevmaterjalist põrand, mis paikneb kasutusel küttesüsteemi</w:t>
      </w:r>
      <w:r w:rsidRPr="00F67940">
        <w:t xml:space="preserve"> kolde</w:t>
      </w:r>
      <w:r>
        <w:t xml:space="preserve">suu ees, mittepõlevast materjalist kattega. </w:t>
      </w:r>
      <w:r w:rsidRPr="007E1B23">
        <w:t>Mittepõlevast materjalist kate võib olla näiteks plek</w:t>
      </w:r>
      <w:r>
        <w:t>ist</w:t>
      </w:r>
      <w:r w:rsidRPr="007E1B23">
        <w:t>, klaas</w:t>
      </w:r>
      <w:r>
        <w:t>ist</w:t>
      </w:r>
      <w:r w:rsidRPr="007E1B23">
        <w:t>, looduslikust kivist või keraamilis</w:t>
      </w:r>
      <w:r>
        <w:t>test</w:t>
      </w:r>
      <w:r w:rsidRPr="007E1B23">
        <w:t xml:space="preserve"> plaa</w:t>
      </w:r>
      <w:r>
        <w:t>tidest</w:t>
      </w:r>
      <w:r w:rsidRPr="007E1B23">
        <w:t xml:space="preserve">. </w:t>
      </w:r>
      <w:r>
        <w:t xml:space="preserve">Mittepõlevat materjali ei tohi eemaldada või katta vaibaga, sest sellisel juhul ei ole tagatud tuleohutus olukorras, kus näiteks </w:t>
      </w:r>
      <w:r w:rsidRPr="00F67940">
        <w:t>küttekolde</w:t>
      </w:r>
      <w:r>
        <w:t xml:space="preserve"> segamisel hüppavad välja põlevad või hõõguvad söed. Samas võib eelnõu järgi tõendada ohutust ka muul viisil, näiteks sellega, et </w:t>
      </w:r>
      <w:r w:rsidRPr="00F67940">
        <w:t>küttesüsteem</w:t>
      </w:r>
      <w:r>
        <w:t xml:space="preserve"> paikneb kivipõrandal. Eelnõus</w:t>
      </w:r>
      <w:r w:rsidRPr="007E1B23">
        <w:t xml:space="preserve"> </w:t>
      </w:r>
      <w:r>
        <w:t>nähakse ette</w:t>
      </w:r>
      <w:r w:rsidRPr="007E1B23">
        <w:t xml:space="preserve"> ka </w:t>
      </w:r>
      <w:r>
        <w:t>mitte</w:t>
      </w:r>
      <w:r w:rsidRPr="007E1B23">
        <w:t>põlev</w:t>
      </w:r>
      <w:r>
        <w:t xml:space="preserve">ast </w:t>
      </w:r>
      <w:r w:rsidRPr="007E1B23">
        <w:t>materjalist katte mi</w:t>
      </w:r>
      <w:r>
        <w:t>inimum</w:t>
      </w:r>
      <w:r w:rsidRPr="007E1B23">
        <w:t>mõõtmed, mis lähevad kokku standardi EVS</w:t>
      </w:r>
      <w:r>
        <w:t> </w:t>
      </w:r>
      <w:r w:rsidRPr="007E1B23">
        <w:t xml:space="preserve">812-3:2007 </w:t>
      </w:r>
      <w:r>
        <w:t>„</w:t>
      </w:r>
      <w:r w:rsidRPr="007E1B23">
        <w:t>Ehitiste tuleohutus. Küttesüsteemid“ põhimõtetega.</w:t>
      </w:r>
      <w:r>
        <w:t xml:space="preserve"> Neid tuleb võtta arvesse ka juhul, kui soovitakse ehitada </w:t>
      </w:r>
      <w:r w:rsidRPr="00F67940">
        <w:t>küttesüsteemi</w:t>
      </w:r>
      <w:r>
        <w:t xml:space="preserve"> ümber kivist ääred.</w:t>
      </w:r>
    </w:p>
    <w:p w14:paraId="4FAFC64C" w14:textId="77777777" w:rsidR="000D0219" w:rsidRDefault="000D0219" w:rsidP="000D0219">
      <w:pPr>
        <w:pStyle w:val="NoSpacing"/>
        <w:jc w:val="both"/>
      </w:pPr>
    </w:p>
    <w:p w14:paraId="25572E26" w14:textId="77777777" w:rsidR="000D0219" w:rsidRDefault="000D0219" w:rsidP="000D0219">
      <w:pPr>
        <w:pStyle w:val="NoSpacing"/>
        <w:jc w:val="both"/>
      </w:pPr>
      <w:r w:rsidRPr="00240B71">
        <w:rPr>
          <w:b/>
          <w:bCs/>
          <w:color w:val="0070C0"/>
        </w:rPr>
        <w:t>Lõikes 4</w:t>
      </w:r>
      <w:r w:rsidRPr="00240B71">
        <w:rPr>
          <w:color w:val="0070C0"/>
        </w:rPr>
        <w:t xml:space="preserve"> </w:t>
      </w:r>
      <w:r>
        <w:t xml:space="preserve">nähakse ette, kui suur peab olema kaitstud ala, kui </w:t>
      </w:r>
      <w:r w:rsidRPr="004317F8">
        <w:t>lahtise küttesüsteemi</w:t>
      </w:r>
      <w:r>
        <w:t xml:space="preserve"> </w:t>
      </w:r>
      <w:r w:rsidRPr="004317F8">
        <w:t>e</w:t>
      </w:r>
      <w:r>
        <w:t>es on</w:t>
      </w:r>
      <w:r w:rsidRPr="004317F8">
        <w:t xml:space="preserve"> vähemalt 50 millimeetri kõrgune ääretõke või kui küttesüsteemi kolde sügavus on üle 750</w:t>
      </w:r>
      <w:r>
        <w:t> </w:t>
      </w:r>
      <w:r w:rsidRPr="004317F8">
        <w:t>milli</w:t>
      </w:r>
      <w:r>
        <w:softHyphen/>
      </w:r>
      <w:r w:rsidRPr="004317F8">
        <w:t>meetri.</w:t>
      </w:r>
      <w:r>
        <w:t xml:space="preserve"> Sellisel juhul ei juhinduta mitte sama paragrahvi lõikest 3, vaid järgitakse lõiget 4, st kaitstud ala koldesuu ees võib 750 millimeetri asemel olla vähemalt 600 millimeetrit.</w:t>
      </w:r>
    </w:p>
    <w:p w14:paraId="1C9227CC" w14:textId="77777777" w:rsidR="000D0219" w:rsidRDefault="000D0219" w:rsidP="000D0219">
      <w:pPr>
        <w:pStyle w:val="NoSpacing"/>
        <w:jc w:val="both"/>
        <w:rPr>
          <w:b/>
        </w:rPr>
      </w:pPr>
    </w:p>
    <w:p w14:paraId="2E0D753B" w14:textId="2412CD99" w:rsidR="000D0219" w:rsidRDefault="000D0219" w:rsidP="000D0219">
      <w:pPr>
        <w:pStyle w:val="NoSpacing"/>
        <w:jc w:val="both"/>
      </w:pPr>
      <w:bookmarkStart w:id="10" w:name="_Toc149306197"/>
      <w:r w:rsidRPr="00320848">
        <w:rPr>
          <w:rStyle w:val="Heading3Char"/>
        </w:rPr>
        <w:t xml:space="preserve">Eelnõu §-s </w:t>
      </w:r>
      <w:bookmarkEnd w:id="10"/>
      <w:r w:rsidR="00832E28">
        <w:rPr>
          <w:rStyle w:val="Heading3Char"/>
        </w:rPr>
        <w:t>6</w:t>
      </w:r>
      <w:r w:rsidRPr="00B701C8">
        <w:t xml:space="preserve"> sätestatakse nõuded </w:t>
      </w:r>
      <w:r>
        <w:t>p</w:t>
      </w:r>
      <w:r w:rsidRPr="00EF2AE3">
        <w:t>õlevmaterjali ladustami</w:t>
      </w:r>
      <w:r>
        <w:t>sele</w:t>
      </w:r>
      <w:r w:rsidRPr="00EF2AE3">
        <w:t xml:space="preserve"> ehitise välisseina läheduses</w:t>
      </w:r>
      <w:r>
        <w:t>.</w:t>
      </w:r>
    </w:p>
    <w:p w14:paraId="55573425" w14:textId="77777777" w:rsidR="000D0219" w:rsidRPr="00B701C8" w:rsidRDefault="000D0219" w:rsidP="000D0219">
      <w:pPr>
        <w:pStyle w:val="NoSpacing"/>
        <w:jc w:val="both"/>
      </w:pPr>
    </w:p>
    <w:p w14:paraId="0D7855DF" w14:textId="77777777" w:rsidR="000D0219" w:rsidRDefault="000D0219" w:rsidP="000D0219">
      <w:pPr>
        <w:pStyle w:val="NoSpacing"/>
        <w:jc w:val="both"/>
      </w:pPr>
      <w:r w:rsidRPr="00240B71">
        <w:rPr>
          <w:b/>
          <w:color w:val="0070C0"/>
        </w:rPr>
        <w:t>Lõike 1</w:t>
      </w:r>
      <w:r w:rsidRPr="00A24E48">
        <w:t xml:space="preserve"> </w:t>
      </w:r>
      <w:r w:rsidRPr="00B701C8">
        <w:t xml:space="preserve">kohaselt </w:t>
      </w:r>
      <w:r>
        <w:t xml:space="preserve">ei tohi põlevmaterjali ladustada ehitise välisseina läheduses selliselt, et see tekitab tuleohtu või raskendab päästetööd. </w:t>
      </w:r>
      <w:bookmarkStart w:id="11" w:name="_Hlk133322517"/>
      <w:r>
        <w:t xml:space="preserve">See tähendab, et põlevmaterjali ladustamisel peab arvestama eelkõige sellega, et see ei kiirendaks tule levikut. </w:t>
      </w:r>
      <w:r w:rsidRPr="00514213">
        <w:t>N</w:t>
      </w:r>
      <w:r>
        <w:t>ii n</w:t>
      </w:r>
      <w:r w:rsidRPr="00514213">
        <w:t xml:space="preserve">äiteks </w:t>
      </w:r>
      <w:r>
        <w:t>suurendab</w:t>
      </w:r>
      <w:r w:rsidRPr="00514213">
        <w:t xml:space="preserve"> tuleohtu olukord, kus </w:t>
      </w:r>
      <w:proofErr w:type="spellStart"/>
      <w:r w:rsidRPr="00514213">
        <w:t>hoonetevaheline</w:t>
      </w:r>
      <w:proofErr w:type="spellEnd"/>
      <w:r w:rsidRPr="00514213">
        <w:t xml:space="preserve"> </w:t>
      </w:r>
      <w:r w:rsidRPr="00183320">
        <w:t>kuja</w:t>
      </w:r>
      <w:r w:rsidRPr="00514213">
        <w:t xml:space="preserve"> on täis põlevmaterjali</w:t>
      </w:r>
      <w:r>
        <w:t>, nagu</w:t>
      </w:r>
      <w:r w:rsidRPr="00514213">
        <w:t xml:space="preserve"> küttepuud</w:t>
      </w:r>
      <w:r>
        <w:t xml:space="preserve"> või</w:t>
      </w:r>
      <w:r w:rsidRPr="00514213">
        <w:t xml:space="preserve"> jäätmed. </w:t>
      </w:r>
      <w:r>
        <w:t>K</w:t>
      </w:r>
      <w:r w:rsidRPr="00183320">
        <w:t>uja</w:t>
      </w:r>
      <w:r w:rsidRPr="00514213">
        <w:t xml:space="preserve"> mõte on takistada tulekahju levikut ühelt hoonelt teisele</w:t>
      </w:r>
      <w:r>
        <w:t>.</w:t>
      </w:r>
      <w:r w:rsidRPr="00514213">
        <w:t xml:space="preserve"> </w:t>
      </w:r>
      <w:r>
        <w:t>K</w:t>
      </w:r>
      <w:r w:rsidRPr="00514213">
        <w:t xml:space="preserve">ui tulekahju võib levida </w:t>
      </w:r>
      <w:r w:rsidRPr="00183320">
        <w:t>kujasse</w:t>
      </w:r>
      <w:r w:rsidRPr="00514213">
        <w:t xml:space="preserve"> ladustatud põlevmaterjali kaudu, kaob ära </w:t>
      </w:r>
      <w:r>
        <w:t>selle</w:t>
      </w:r>
      <w:r w:rsidRPr="00514213">
        <w:t xml:space="preserve"> mõte. Samas ei ole </w:t>
      </w:r>
      <w:r w:rsidRPr="00183320">
        <w:t>kujas</w:t>
      </w:r>
      <w:r w:rsidRPr="00514213">
        <w:t xml:space="preserve"> põlevmaterjali ladustamise keeld absoluutne</w:t>
      </w:r>
      <w:r>
        <w:t>:</w:t>
      </w:r>
      <w:r w:rsidRPr="00514213">
        <w:t xml:space="preserve"> väikeses </w:t>
      </w:r>
      <w:r w:rsidRPr="00514213">
        <w:t>koguses põlevmaterjali ladustamine ei tekita olulist ohtu.</w:t>
      </w:r>
      <w:r>
        <w:t xml:space="preserve"> Kindlasti peab arvestama ka päästjatele vajaliku liikumisruumiga, sest tulekahju korral võib olla vaja tulla ehitisele väga lähedale, ja kui see on suure hulga põlevmaterjali tõttu</w:t>
      </w:r>
      <w:r w:rsidRPr="00183320">
        <w:t xml:space="preserve"> </w:t>
      </w:r>
      <w:r>
        <w:t>raskendatud, raskeneb ja pikeneb oluliselt päästetöö.</w:t>
      </w:r>
    </w:p>
    <w:bookmarkEnd w:id="11"/>
    <w:p w14:paraId="23FA0DC5" w14:textId="77777777" w:rsidR="00A031BC" w:rsidRDefault="00A031BC" w:rsidP="000D0219">
      <w:pPr>
        <w:jc w:val="both"/>
        <w:rPr>
          <w:b/>
          <w:bCs/>
          <w:color w:val="0070C0"/>
        </w:rPr>
      </w:pPr>
    </w:p>
    <w:p w14:paraId="2A4DBC0A" w14:textId="0727FBF8" w:rsidR="000D0219" w:rsidRDefault="000D0219" w:rsidP="000D0219">
      <w:pPr>
        <w:jc w:val="both"/>
      </w:pPr>
      <w:r w:rsidRPr="00240B71">
        <w:rPr>
          <w:b/>
          <w:bCs/>
          <w:color w:val="0070C0"/>
        </w:rPr>
        <w:t>Lõike 2</w:t>
      </w:r>
      <w:r w:rsidRPr="00A24E48">
        <w:t xml:space="preserve"> kohaselt </w:t>
      </w:r>
      <w:r>
        <w:t xml:space="preserve">peab põlevmaterjali ladustamise </w:t>
      </w:r>
      <w:r>
        <w:t>koht olema ohutus kauguses hoonest, milles on elu- või töökohad. Kui ohutu kaugus ei ole tõendatud muul usaldusväärsel viisil, loetakse selleks vähemalt neli meetrit süttiva pinnakihiga või mis tahes tulepüsivusega hoone välisseina ukse-, akna- või muust avast. Kehtiva määruse järgi on ohutu kaugus sellise hoone puhul seotud selles p</w:t>
      </w:r>
      <w:r w:rsidRPr="00AA38B4">
        <w:t>üsivalt viibiva</w:t>
      </w:r>
      <w:r>
        <w:t>te</w:t>
      </w:r>
      <w:r w:rsidRPr="00AA38B4">
        <w:t xml:space="preserve"> inimes</w:t>
      </w:r>
      <w:r>
        <w:t xml:space="preserve">tega, kuid sisult on peetud sellega silmas elu- ja töökohti. Nii täpsustatakse eelnõuga, et kõne all on hoone, kus inimesed elavad või töötavad ehk viibivad päeval või öösel. Seega on </w:t>
      </w:r>
      <w:r w:rsidRPr="00506332">
        <w:t>kuja nõue</w:t>
      </w:r>
      <w:r w:rsidRPr="00285431">
        <w:t xml:space="preserve"> näiteks </w:t>
      </w:r>
      <w:r w:rsidRPr="00506332">
        <w:t>el</w:t>
      </w:r>
      <w:r>
        <w:t>amu</w:t>
      </w:r>
      <w:r w:rsidRPr="00285431">
        <w:t>, büroohoone</w:t>
      </w:r>
      <w:r>
        <w:t xml:space="preserve"> ja</w:t>
      </w:r>
      <w:r w:rsidRPr="00285431">
        <w:t xml:space="preserve"> kogunemishoone</w:t>
      </w:r>
      <w:r>
        <w:t xml:space="preserve"> kohta</w:t>
      </w:r>
      <w:r w:rsidRPr="00285431">
        <w:t>. Samas näiteks kuuri</w:t>
      </w:r>
      <w:r>
        <w:t xml:space="preserve"> ja</w:t>
      </w:r>
      <w:r w:rsidRPr="00285431">
        <w:t xml:space="preserve"> garaaži </w:t>
      </w:r>
      <w:r>
        <w:t>ning muude</w:t>
      </w:r>
      <w:r w:rsidRPr="00285431">
        <w:t xml:space="preserve"> abihoonete ja </w:t>
      </w:r>
      <w:r>
        <w:t>-</w:t>
      </w:r>
      <w:r w:rsidRPr="00285431">
        <w:t xml:space="preserve">rajatiste puhul ei ole vaja tuua kuja eraldi välja, sest põlevmaterjali ladustamine </w:t>
      </w:r>
      <w:r>
        <w:t>nende</w:t>
      </w:r>
      <w:r w:rsidRPr="00285431">
        <w:t xml:space="preserve"> läheduses ei tekita </w:t>
      </w:r>
      <w:r>
        <w:t>ohtu inimelule. Kuuri, garaaži ning muude</w:t>
      </w:r>
      <w:r w:rsidRPr="00285431">
        <w:t xml:space="preserve"> abihoonete</w:t>
      </w:r>
      <w:r>
        <w:t xml:space="preserve"> ja -rajatise</w:t>
      </w:r>
      <w:r w:rsidRPr="00285431">
        <w:t xml:space="preserve"> </w:t>
      </w:r>
      <w:r>
        <w:t>kohta</w:t>
      </w:r>
      <w:r w:rsidRPr="00285431">
        <w:t xml:space="preserve"> kehti</w:t>
      </w:r>
      <w:r>
        <w:t>b</w:t>
      </w:r>
      <w:r w:rsidRPr="00285431">
        <w:t xml:space="preserve"> </w:t>
      </w:r>
      <w:r>
        <w:t>sama paragrahvi</w:t>
      </w:r>
      <w:r w:rsidRPr="00285431">
        <w:t xml:space="preserve"> l</w:t>
      </w:r>
      <w:r>
        <w:t>õike</w:t>
      </w:r>
      <w:r w:rsidRPr="00285431">
        <w:t xml:space="preserve"> 1 üldnõue.</w:t>
      </w:r>
    </w:p>
    <w:p w14:paraId="03338C13" w14:textId="77777777" w:rsidR="000D0219" w:rsidRDefault="000D0219" w:rsidP="000D0219">
      <w:pPr>
        <w:pStyle w:val="NoSpacing"/>
        <w:jc w:val="both"/>
        <w:rPr>
          <w:b/>
        </w:rPr>
      </w:pPr>
    </w:p>
    <w:p w14:paraId="6B917078" w14:textId="77777777" w:rsidR="000D0219" w:rsidRDefault="000D0219" w:rsidP="000D0219">
      <w:pPr>
        <w:jc w:val="both"/>
      </w:pPr>
      <w:r w:rsidRPr="00285431">
        <w:t xml:space="preserve">Ohutuks kauguseks põlevmaterjali ladustamisel loetakse </w:t>
      </w:r>
      <w:r>
        <w:t>vähemalt nelja</w:t>
      </w:r>
      <w:r w:rsidRPr="00285431">
        <w:t xml:space="preserve">meetrist </w:t>
      </w:r>
      <w:r w:rsidRPr="00510324">
        <w:t>kuja</w:t>
      </w:r>
      <w:r w:rsidRPr="00285431">
        <w:t xml:space="preserve"> süttiva pinnakihiga hoone või mis tahes tulepüsivusega hoone välisseina ukse</w:t>
      </w:r>
      <w:r>
        <w:noBreakHyphen/>
      </w:r>
      <w:r w:rsidRPr="00285431">
        <w:t>, akna- või muust avast. Kui hoone välissein ei ole põlevmaterjalist</w:t>
      </w:r>
      <w:r>
        <w:t>,</w:t>
      </w:r>
      <w:r w:rsidRPr="00285431">
        <w:t xml:space="preserve"> näiteks betoonsein</w:t>
      </w:r>
      <w:r>
        <w:t>,</w:t>
      </w:r>
      <w:r w:rsidRPr="00285431">
        <w:t xml:space="preserve"> </w:t>
      </w:r>
      <w:r>
        <w:t>ning</w:t>
      </w:r>
      <w:r w:rsidRPr="00285431">
        <w:t xml:space="preserve"> selles ei </w:t>
      </w:r>
      <w:r>
        <w:t xml:space="preserve">paikne </w:t>
      </w:r>
      <w:r w:rsidRPr="00285431">
        <w:t xml:space="preserve">ava, </w:t>
      </w:r>
      <w:r>
        <w:t xml:space="preserve">mis on kuni nelja meetri kaugusel põlevmaterjali ladustamise kohast ja </w:t>
      </w:r>
      <w:r w:rsidRPr="00285431">
        <w:t>mille kaudu saa</w:t>
      </w:r>
      <w:r>
        <w:t>b</w:t>
      </w:r>
      <w:r w:rsidRPr="00285431">
        <w:t xml:space="preserve"> tulekahju levida hoonesse, võib põlevmaterjali ladustada ka hoone välisseina vastas.</w:t>
      </w:r>
    </w:p>
    <w:p w14:paraId="5C489DE0" w14:textId="77777777" w:rsidR="00D77717" w:rsidRDefault="00D77717" w:rsidP="000D0219">
      <w:pPr>
        <w:jc w:val="both"/>
      </w:pPr>
    </w:p>
    <w:p w14:paraId="0353767E" w14:textId="45B5270D" w:rsidR="007377F3" w:rsidRPr="007377F3" w:rsidRDefault="00D66C00" w:rsidP="007377F3">
      <w:pPr>
        <w:jc w:val="both"/>
        <w:rPr>
          <w:highlight w:val="yellow"/>
        </w:rPr>
      </w:pPr>
      <w:bookmarkStart w:id="12" w:name="_Hlk157152968"/>
      <w:r>
        <w:rPr>
          <w:highlight w:val="yellow"/>
        </w:rPr>
        <w:t>K</w:t>
      </w:r>
      <w:r w:rsidR="00D77717" w:rsidRPr="00D77717">
        <w:rPr>
          <w:highlight w:val="yellow"/>
        </w:rPr>
        <w:t>laasipesuvedelike ja küttepuude ladustami</w:t>
      </w:r>
      <w:r>
        <w:rPr>
          <w:highlight w:val="yellow"/>
        </w:rPr>
        <w:t>ne</w:t>
      </w:r>
      <w:r w:rsidR="00D77717" w:rsidRPr="00D77717">
        <w:rPr>
          <w:highlight w:val="yellow"/>
        </w:rPr>
        <w:t xml:space="preserve"> tanklapoodide välisseinte ääres</w:t>
      </w:r>
      <w:r w:rsidRPr="00D66C00">
        <w:rPr>
          <w:highlight w:val="yellow"/>
        </w:rPr>
        <w:t xml:space="preserve"> </w:t>
      </w:r>
      <w:r>
        <w:rPr>
          <w:highlight w:val="yellow"/>
        </w:rPr>
        <w:t>o</w:t>
      </w:r>
      <w:r w:rsidRPr="00D77717">
        <w:rPr>
          <w:highlight w:val="yellow"/>
        </w:rPr>
        <w:t>n sage praktika</w:t>
      </w:r>
      <w:r w:rsidR="00D77717" w:rsidRPr="00D77717">
        <w:rPr>
          <w:highlight w:val="yellow"/>
        </w:rPr>
        <w:t xml:space="preserve">. Ka kehtivas määruses on nõue, et põlevmaterjali ladustamise koht on hoonest, milles püsivalt </w:t>
      </w:r>
      <w:r w:rsidR="00D77717" w:rsidRPr="00D77717">
        <w:rPr>
          <w:highlight w:val="yellow"/>
        </w:rPr>
        <w:lastRenderedPageBreak/>
        <w:t xml:space="preserve">viibivad inimesed, ohutus kauguses ning kui ohutu kaugus ei ole tõendatud muul usaldusväärsel viisil, loetakse ohutuks kauguseks süttiva pinnakihiga hoone või mis tahes tulepüsivusega hoone välisseinast olevast ukse-, akna- või muust avast vähemalt </w:t>
      </w:r>
      <w:r w:rsidR="001E177B">
        <w:rPr>
          <w:highlight w:val="yellow"/>
        </w:rPr>
        <w:t>neli</w:t>
      </w:r>
      <w:r w:rsidR="00D77717" w:rsidRPr="00D77717">
        <w:rPr>
          <w:highlight w:val="yellow"/>
        </w:rPr>
        <w:t xml:space="preserve"> meetrit. Seega tuleks seda nõuet ka uues määruses järgida</w:t>
      </w:r>
      <w:r w:rsidR="007377F3">
        <w:rPr>
          <w:highlight w:val="yellow"/>
        </w:rPr>
        <w:t xml:space="preserve">. </w:t>
      </w:r>
      <w:r w:rsidR="007377F3" w:rsidRPr="007377F3">
        <w:rPr>
          <w:highlight w:val="yellow"/>
        </w:rPr>
        <w:t xml:space="preserve">Samas on Päästeamet asunud seisukohale, et kuna tanklahoones viibib üldjoontes </w:t>
      </w:r>
      <w:r w:rsidR="005467E0">
        <w:rPr>
          <w:highlight w:val="yellow"/>
        </w:rPr>
        <w:t>ööpäev ringi</w:t>
      </w:r>
      <w:r w:rsidR="007377F3" w:rsidRPr="007377F3">
        <w:rPr>
          <w:highlight w:val="yellow"/>
        </w:rPr>
        <w:t xml:space="preserve"> vähemalt üks töötaja, kes ohu korral saab operatiivselt tegutseda, siis</w:t>
      </w:r>
      <w:r w:rsidR="005D011B">
        <w:rPr>
          <w:highlight w:val="yellow"/>
        </w:rPr>
        <w:t xml:space="preserve"> </w:t>
      </w:r>
      <w:r w:rsidR="005D011B" w:rsidRPr="0082499D">
        <w:rPr>
          <w:highlight w:val="yellow"/>
        </w:rPr>
        <w:t xml:space="preserve">küttepuid ja klaasipesuvedelikke võib hoida tanklahoone välisseina ääres väikeses koguses (küttepuid kuni üks ruumimeeter, klaasipesuvedelikke kuni 80 liitrit) kaanega suletavas metallkastis või konteineris, mis </w:t>
      </w:r>
      <w:r w:rsidR="0082499D">
        <w:rPr>
          <w:highlight w:val="yellow"/>
        </w:rPr>
        <w:t>peab</w:t>
      </w:r>
      <w:r w:rsidR="005D011B" w:rsidRPr="0082499D">
        <w:rPr>
          <w:highlight w:val="yellow"/>
        </w:rPr>
        <w:t xml:space="preserve"> tavapäraselt </w:t>
      </w:r>
      <w:r w:rsidR="0082499D">
        <w:rPr>
          <w:highlight w:val="yellow"/>
        </w:rPr>
        <w:t xml:space="preserve">olema </w:t>
      </w:r>
      <w:r w:rsidR="005D011B" w:rsidRPr="0082499D">
        <w:rPr>
          <w:highlight w:val="yellow"/>
        </w:rPr>
        <w:t xml:space="preserve">suletud asendis ja </w:t>
      </w:r>
      <w:r w:rsidR="0082499D">
        <w:rPr>
          <w:highlight w:val="yellow"/>
        </w:rPr>
        <w:t xml:space="preserve">paigutatud </w:t>
      </w:r>
      <w:r w:rsidR="005D011B" w:rsidRPr="0082499D">
        <w:rPr>
          <w:highlight w:val="yellow"/>
        </w:rPr>
        <w:t>selliselt, et metallkast või konteiner ei takista ehitisest väljumist. Küttepuude ja klaasipesuvedeliku kõrvuti ladustamisel peab metallkastide või konteinerite eraldamiseks jääma vähemalt kahe meetrine vahemaa</w:t>
      </w:r>
      <w:r w:rsidR="007377F3" w:rsidRPr="007377F3">
        <w:rPr>
          <w:highlight w:val="yellow"/>
        </w:rPr>
        <w:t>.</w:t>
      </w:r>
      <w:r w:rsidR="005D011B">
        <w:rPr>
          <w:highlight w:val="yellow"/>
        </w:rPr>
        <w:t xml:space="preserve"> Ehkki kõik klaasipesuvedelikud ei ole ohtlikud ained, võiks neid ladustada ühtsel viisil.</w:t>
      </w:r>
      <w:r>
        <w:rPr>
          <w:highlight w:val="yellow"/>
        </w:rPr>
        <w:t xml:space="preserve"> </w:t>
      </w:r>
      <w:r w:rsidR="007377F3" w:rsidRPr="007377F3">
        <w:rPr>
          <w:highlight w:val="yellow"/>
        </w:rPr>
        <w:t xml:space="preserve">Sellises suuruses konteiner ei anna olulist põlemiskoormust juurde ega tekita täiendavat tuleohtu isegi, kui see on paigutatud hoone välisseina vastu või akna lähedusse. Konteiner </w:t>
      </w:r>
      <w:r w:rsidR="002904B9">
        <w:rPr>
          <w:highlight w:val="yellow"/>
        </w:rPr>
        <w:t>peab</w:t>
      </w:r>
      <w:r w:rsidR="007377F3" w:rsidRPr="007377F3">
        <w:rPr>
          <w:highlight w:val="yellow"/>
        </w:rPr>
        <w:t xml:space="preserve"> tavapärases asendis </w:t>
      </w:r>
      <w:r w:rsidR="002904B9">
        <w:rPr>
          <w:highlight w:val="yellow"/>
        </w:rPr>
        <w:t xml:space="preserve">olema </w:t>
      </w:r>
      <w:r w:rsidR="007377F3" w:rsidRPr="007377F3">
        <w:rPr>
          <w:highlight w:val="yellow"/>
        </w:rPr>
        <w:t>suletud ja isegi kui mõni pahatahtlik kodanik peaks siiski otsustama visata põleva eseme konteinerisse, ei tohiks otseselt ka leeki sellest konteinerist välja tulla</w:t>
      </w:r>
      <w:r w:rsidR="007377F3">
        <w:rPr>
          <w:highlight w:val="yellow"/>
        </w:rPr>
        <w:t>.</w:t>
      </w:r>
    </w:p>
    <w:p w14:paraId="0F3A435D" w14:textId="77777777" w:rsidR="00D66C00" w:rsidRDefault="00D66C00" w:rsidP="000D0219">
      <w:pPr>
        <w:jc w:val="both"/>
        <w:rPr>
          <w:highlight w:val="yellow"/>
        </w:rPr>
      </w:pPr>
    </w:p>
    <w:p w14:paraId="69398759" w14:textId="622A638F" w:rsidR="00D77717" w:rsidRPr="00285431" w:rsidRDefault="007377F3" w:rsidP="000D0219">
      <w:pPr>
        <w:jc w:val="both"/>
      </w:pPr>
      <w:r>
        <w:rPr>
          <w:highlight w:val="yellow"/>
        </w:rPr>
        <w:t>Samas on igati tervitatav</w:t>
      </w:r>
      <w:r w:rsidR="00D77717" w:rsidRPr="00D77717">
        <w:rPr>
          <w:highlight w:val="yellow"/>
        </w:rPr>
        <w:t xml:space="preserve">, et kaupmehed </w:t>
      </w:r>
      <w:r>
        <w:rPr>
          <w:highlight w:val="yellow"/>
        </w:rPr>
        <w:t>leiaksid</w:t>
      </w:r>
      <w:r w:rsidR="00D77717" w:rsidRPr="00D77717">
        <w:rPr>
          <w:highlight w:val="yellow"/>
        </w:rPr>
        <w:t xml:space="preserve"> neile</w:t>
      </w:r>
      <w:r w:rsidR="0052470E">
        <w:rPr>
          <w:highlight w:val="yellow"/>
        </w:rPr>
        <w:t xml:space="preserve"> kaubaartiklitele</w:t>
      </w:r>
      <w:r w:rsidR="00D77717" w:rsidRPr="00D77717">
        <w:rPr>
          <w:highlight w:val="yellow"/>
        </w:rPr>
        <w:t xml:space="preserve"> uue koha, sest </w:t>
      </w:r>
      <w:r>
        <w:rPr>
          <w:highlight w:val="yellow"/>
        </w:rPr>
        <w:t xml:space="preserve">olemuselt </w:t>
      </w:r>
      <w:r w:rsidR="00D77717" w:rsidRPr="00D77717">
        <w:rPr>
          <w:highlight w:val="yellow"/>
        </w:rPr>
        <w:t xml:space="preserve">ohtlikud ained ja põlevmaterjal ei sobi lähestikku ladustamiseks. Kui ohutuma koha valik on näiteks krundi väiksuse tõttu siiski keeruline või osutub võimatuks, tuleb omalt poolt tagada pidev valve ja seire võimalike ohuolukordade koheseks märkamiseks ja neile reageerimiseks, kuid esmalt peaks siiski otsima võimalusi põlevmaterjali eemaldamiseks </w:t>
      </w:r>
      <w:proofErr w:type="spellStart"/>
      <w:r w:rsidR="00D77717" w:rsidRPr="00D77717">
        <w:rPr>
          <w:highlight w:val="yellow"/>
        </w:rPr>
        <w:t>tank</w:t>
      </w:r>
      <w:r w:rsidR="00A87A26">
        <w:rPr>
          <w:highlight w:val="yellow"/>
        </w:rPr>
        <w:t>u</w:t>
      </w:r>
      <w:r w:rsidR="00D77717" w:rsidRPr="00D77717">
        <w:rPr>
          <w:highlight w:val="yellow"/>
        </w:rPr>
        <w:t>rite</w:t>
      </w:r>
      <w:proofErr w:type="spellEnd"/>
      <w:r w:rsidR="00D77717" w:rsidRPr="00D77717">
        <w:rPr>
          <w:highlight w:val="yellow"/>
        </w:rPr>
        <w:t xml:space="preserve"> ja tankla</w:t>
      </w:r>
      <w:r w:rsidR="00A87A26">
        <w:rPr>
          <w:highlight w:val="yellow"/>
        </w:rPr>
        <w:t xml:space="preserve"> hoone</w:t>
      </w:r>
      <w:r w:rsidR="00D77717" w:rsidRPr="00D77717">
        <w:rPr>
          <w:highlight w:val="yellow"/>
        </w:rPr>
        <w:t xml:space="preserve">te </w:t>
      </w:r>
      <w:r w:rsidR="00A87A26">
        <w:rPr>
          <w:highlight w:val="yellow"/>
        </w:rPr>
        <w:t xml:space="preserve">(kauplus) </w:t>
      </w:r>
      <w:r w:rsidR="00D77717" w:rsidRPr="00D77717">
        <w:rPr>
          <w:highlight w:val="yellow"/>
        </w:rPr>
        <w:t>vahelt.</w:t>
      </w:r>
    </w:p>
    <w:bookmarkEnd w:id="12"/>
    <w:p w14:paraId="459494F2" w14:textId="77777777" w:rsidR="000D0219" w:rsidRDefault="000D0219" w:rsidP="000D0219">
      <w:pPr>
        <w:jc w:val="both"/>
      </w:pPr>
    </w:p>
    <w:p w14:paraId="7022E14D" w14:textId="77777777" w:rsidR="000D0219" w:rsidRPr="00285431" w:rsidRDefault="000D0219" w:rsidP="000D0219">
      <w:pPr>
        <w:jc w:val="both"/>
      </w:pPr>
      <w:r w:rsidRPr="00285431">
        <w:t xml:space="preserve">Lisaks </w:t>
      </w:r>
      <w:r w:rsidRPr="00301535">
        <w:t>kuja</w:t>
      </w:r>
      <w:r w:rsidRPr="00285431">
        <w:t xml:space="preserve"> </w:t>
      </w:r>
      <w:r>
        <w:t>reguleerimisele</w:t>
      </w:r>
      <w:r w:rsidRPr="00285431">
        <w:t xml:space="preserve"> </w:t>
      </w:r>
      <w:r>
        <w:t>nähakse lõikega 2 ette põhimõ</w:t>
      </w:r>
      <w:r w:rsidRPr="00285431">
        <w:t xml:space="preserve">te, et ohutuse võib tagada ka muul usaldusväärsel viisil. Alati ei ole võimalik tagada </w:t>
      </w:r>
      <w:r>
        <w:t xml:space="preserve">põlevmaterjali </w:t>
      </w:r>
      <w:r w:rsidRPr="00285431">
        <w:t xml:space="preserve">ladustamisel piisavat </w:t>
      </w:r>
      <w:r w:rsidRPr="00301535">
        <w:t>kuja</w:t>
      </w:r>
      <w:r>
        <w:t>.</w:t>
      </w:r>
      <w:r w:rsidRPr="00285431">
        <w:t xml:space="preserve"> </w:t>
      </w:r>
      <w:r>
        <w:t>S</w:t>
      </w:r>
      <w:r w:rsidRPr="00285431">
        <w:t xml:space="preserve">amas on </w:t>
      </w:r>
      <w:r>
        <w:t xml:space="preserve">aga </w:t>
      </w:r>
      <w:r w:rsidRPr="00285431">
        <w:t>võimalik võtta alternatiivseid ohutusmeetmeid.</w:t>
      </w:r>
      <w:r>
        <w:t xml:space="preserve"> Üks selline meede on hoonete väline </w:t>
      </w:r>
      <w:proofErr w:type="spellStart"/>
      <w:r>
        <w:t>sprinkleerimine</w:t>
      </w:r>
      <w:proofErr w:type="spellEnd"/>
      <w:r>
        <w:t xml:space="preserve">, kus </w:t>
      </w:r>
      <w:proofErr w:type="spellStart"/>
      <w:r>
        <w:t>sprinkleripead</w:t>
      </w:r>
      <w:proofErr w:type="spellEnd"/>
      <w:r>
        <w:t xml:space="preserve"> asuvad hoone välisseina kaitseks näiteks räästa all. Sellisel juhul jahutab </w:t>
      </w:r>
      <w:proofErr w:type="spellStart"/>
      <w:r>
        <w:t>sprinkler</w:t>
      </w:r>
      <w:proofErr w:type="spellEnd"/>
      <w:r>
        <w:t xml:space="preserve"> tulekahju selle algusfaasis ja hoiab ära võimaliku edasileviku kuni päästemeeskonna saabumiseni.</w:t>
      </w:r>
    </w:p>
    <w:p w14:paraId="052A3B91" w14:textId="77777777" w:rsidR="000D0219" w:rsidRDefault="000D0219" w:rsidP="000D0219">
      <w:pPr>
        <w:pStyle w:val="NoSpacing"/>
        <w:jc w:val="both"/>
        <w:rPr>
          <w:b/>
        </w:rPr>
      </w:pPr>
    </w:p>
    <w:p w14:paraId="403BCF11" w14:textId="6D4C6635" w:rsidR="000D0219" w:rsidRDefault="000D0219" w:rsidP="000D0219">
      <w:pPr>
        <w:pStyle w:val="NoSpacing"/>
        <w:jc w:val="both"/>
      </w:pPr>
      <w:bookmarkStart w:id="13" w:name="_Toc149306198"/>
      <w:r w:rsidRPr="00A24E48">
        <w:rPr>
          <w:rStyle w:val="Heading3Char"/>
        </w:rPr>
        <w:t xml:space="preserve">Eelnõu §-s </w:t>
      </w:r>
      <w:bookmarkEnd w:id="13"/>
      <w:r w:rsidR="00832E28">
        <w:rPr>
          <w:rStyle w:val="Heading3Char"/>
        </w:rPr>
        <w:t>7</w:t>
      </w:r>
      <w:r w:rsidRPr="00B701C8">
        <w:t xml:space="preserve"> sätestatakse </w:t>
      </w:r>
      <w:r>
        <w:t>nõuded p</w:t>
      </w:r>
      <w:r w:rsidRPr="00EF2AE3">
        <w:t xml:space="preserve">õlevmaterjalist jäätmete </w:t>
      </w:r>
      <w:r>
        <w:t xml:space="preserve">ja olmejäätmete (edaspidi koos </w:t>
      </w:r>
      <w:r w:rsidRPr="00A24E48">
        <w:rPr>
          <w:i/>
          <w:iCs/>
        </w:rPr>
        <w:t>jäätmed</w:t>
      </w:r>
      <w:r>
        <w:t xml:space="preserve">) </w:t>
      </w:r>
      <w:r w:rsidRPr="00EF2AE3">
        <w:t>ladustami</w:t>
      </w:r>
      <w:r>
        <w:t>sele</w:t>
      </w:r>
      <w:r w:rsidRPr="00B701C8">
        <w:t>.</w:t>
      </w:r>
      <w:r w:rsidRPr="00AD645A">
        <w:t xml:space="preserve"> </w:t>
      </w:r>
      <w:r>
        <w:t>Kehtivas määruses on nõuded vaid põlevmaterjalist jäätmete ladustamisele, kuid Päästeameti praktikale tuginedes on asjakohane seada nõuded ka olme</w:t>
      </w:r>
      <w:r>
        <w:softHyphen/>
        <w:t>jäätmete ladustamisele.</w:t>
      </w:r>
    </w:p>
    <w:p w14:paraId="3E7E380D" w14:textId="541AFBE4" w:rsidR="000D0219" w:rsidRDefault="000D0219" w:rsidP="006355B2">
      <w:pPr>
        <w:pStyle w:val="NoSpacing"/>
        <w:keepNext/>
        <w:jc w:val="both"/>
      </w:pPr>
      <w:r>
        <w:t>Jäätmeseaduse § 7 kohaselt on olmejäätmed:</w:t>
      </w:r>
    </w:p>
    <w:p w14:paraId="0B391F3F" w14:textId="77777777" w:rsidR="000D0219" w:rsidRDefault="000D0219" w:rsidP="000D0219">
      <w:pPr>
        <w:pStyle w:val="NoSpacing"/>
        <w:numPr>
          <w:ilvl w:val="0"/>
          <w:numId w:val="5"/>
        </w:numPr>
        <w:jc w:val="both"/>
      </w:pPr>
      <w:r>
        <w:t xml:space="preserve">kodumajapidamistest kogutud </w:t>
      </w:r>
      <w:proofErr w:type="spellStart"/>
      <w:r>
        <w:t>segajäätmed</w:t>
      </w:r>
      <w:proofErr w:type="spellEnd"/>
      <w:r>
        <w:t xml:space="preserve"> ja liigiti kogutud jäätmed, sealhulgas paber ja kartong, klaas, metallid, plast, </w:t>
      </w:r>
      <w:proofErr w:type="spellStart"/>
      <w:r>
        <w:t>biojäätmed</w:t>
      </w:r>
      <w:proofErr w:type="spellEnd"/>
      <w:r>
        <w:t>, puit, tekstiil, pakendid, elektri- ja elektroonika</w:t>
      </w:r>
      <w:r>
        <w:softHyphen/>
        <w:t xml:space="preserve">seadmetest tekkinud jäätmed, patareid ja akud ning </w:t>
      </w:r>
      <w:proofErr w:type="spellStart"/>
      <w:r>
        <w:t>suuremõõtmelised</w:t>
      </w:r>
      <w:proofErr w:type="spellEnd"/>
      <w:r>
        <w:t xml:space="preserve"> jäätmed, sealhulgas madratsid ja mööbel;</w:t>
      </w:r>
    </w:p>
    <w:p w14:paraId="2970632B" w14:textId="77777777" w:rsidR="000D0219" w:rsidRDefault="000D0219" w:rsidP="000D0219">
      <w:pPr>
        <w:pStyle w:val="NoSpacing"/>
        <w:numPr>
          <w:ilvl w:val="0"/>
          <w:numId w:val="5"/>
        </w:numPr>
        <w:jc w:val="both"/>
      </w:pPr>
      <w:r>
        <w:t xml:space="preserve">muudest allikatest kogutud </w:t>
      </w:r>
      <w:proofErr w:type="spellStart"/>
      <w:r>
        <w:t>segajäätmed</w:t>
      </w:r>
      <w:proofErr w:type="spellEnd"/>
      <w:r>
        <w:t xml:space="preserve"> ja liigiti kogutud jäätmed, mis on oma koostise ja omaduste poolest </w:t>
      </w:r>
      <w:proofErr w:type="spellStart"/>
      <w:r>
        <w:t>kodumajapidamisjäätmete</w:t>
      </w:r>
      <w:proofErr w:type="spellEnd"/>
      <w:r>
        <w:t xml:space="preserve"> sarnased.</w:t>
      </w:r>
    </w:p>
    <w:p w14:paraId="579933B3" w14:textId="77777777" w:rsidR="000D0219" w:rsidRDefault="000D0219" w:rsidP="000D0219">
      <w:pPr>
        <w:pStyle w:val="NoSpacing"/>
        <w:jc w:val="both"/>
      </w:pPr>
    </w:p>
    <w:p w14:paraId="2B613405" w14:textId="77777777" w:rsidR="000D0219" w:rsidRDefault="000D0219" w:rsidP="000D0219">
      <w:pPr>
        <w:pStyle w:val="NoSpacing"/>
        <w:jc w:val="both"/>
      </w:pPr>
      <w:r>
        <w:t xml:space="preserve">Olmejäätmete hulka ei kuulu tootmis-, põllumajandus-, metsandus-, kalandus-, septiku ega kanalisatsioonivõrgu ja reovee töötlemise jäätmed, </w:t>
      </w:r>
      <w:r>
        <w:t>romusõidukid ega ehitus- ja lammutus</w:t>
      </w:r>
      <w:r>
        <w:softHyphen/>
        <w:t xml:space="preserve">jäätmed. Seega on eelnõus peetud olmejäätmetena silmas eelkõige </w:t>
      </w:r>
      <w:proofErr w:type="spellStart"/>
      <w:r>
        <w:t>kodumajapidamisjäätmeid</w:t>
      </w:r>
      <w:proofErr w:type="spellEnd"/>
      <w:r>
        <w:t>.</w:t>
      </w:r>
    </w:p>
    <w:p w14:paraId="55D3176E" w14:textId="36EDFEAF" w:rsidR="00C85CEE" w:rsidRPr="00B701C8" w:rsidRDefault="00A031BC" w:rsidP="000D0219">
      <w:pPr>
        <w:pStyle w:val="NoSpacing"/>
        <w:jc w:val="both"/>
      </w:pPr>
      <w:r>
        <w:rPr>
          <w:highlight w:val="yellow"/>
        </w:rPr>
        <w:t>Kuna k</w:t>
      </w:r>
      <w:r w:rsidR="00C85CEE" w:rsidRPr="00C85CEE">
        <w:rPr>
          <w:highlight w:val="yellow"/>
        </w:rPr>
        <w:t xml:space="preserve">asutatud patareid ja akud </w:t>
      </w:r>
      <w:r w:rsidRPr="00C85CEE">
        <w:rPr>
          <w:highlight w:val="yellow"/>
        </w:rPr>
        <w:t xml:space="preserve">on jäätmeseaduse kohaselt liigitatavad </w:t>
      </w:r>
      <w:proofErr w:type="spellStart"/>
      <w:r w:rsidRPr="00C85CEE">
        <w:rPr>
          <w:highlight w:val="yellow"/>
        </w:rPr>
        <w:t>kodumajapidamisjäätmete</w:t>
      </w:r>
      <w:proofErr w:type="spellEnd"/>
      <w:r w:rsidRPr="00C85CEE">
        <w:rPr>
          <w:highlight w:val="yellow"/>
        </w:rPr>
        <w:t xml:space="preserve"> hulka</w:t>
      </w:r>
      <w:r>
        <w:rPr>
          <w:highlight w:val="yellow"/>
        </w:rPr>
        <w:t>, siis</w:t>
      </w:r>
      <w:r w:rsidR="00C85CEE" w:rsidRPr="00C85CEE">
        <w:rPr>
          <w:highlight w:val="yellow"/>
        </w:rPr>
        <w:t xml:space="preserve"> on eelnõu koostajad seisukohal, et </w:t>
      </w:r>
      <w:r>
        <w:rPr>
          <w:highlight w:val="yellow"/>
        </w:rPr>
        <w:t xml:space="preserve"> nende ladustamisel</w:t>
      </w:r>
      <w:r w:rsidR="002904B9">
        <w:rPr>
          <w:highlight w:val="yellow"/>
        </w:rPr>
        <w:t xml:space="preserve"> </w:t>
      </w:r>
      <w:r w:rsidR="00C85CEE" w:rsidRPr="00C85CEE">
        <w:rPr>
          <w:highlight w:val="yellow"/>
        </w:rPr>
        <w:t xml:space="preserve">piisab, kui neid </w:t>
      </w:r>
      <w:r>
        <w:rPr>
          <w:highlight w:val="yellow"/>
        </w:rPr>
        <w:t>käesolevas</w:t>
      </w:r>
      <w:r w:rsidRPr="00C85CEE">
        <w:rPr>
          <w:highlight w:val="yellow"/>
        </w:rPr>
        <w:t xml:space="preserve"> </w:t>
      </w:r>
      <w:r w:rsidR="00C85CEE" w:rsidRPr="00C85CEE">
        <w:rPr>
          <w:highlight w:val="yellow"/>
        </w:rPr>
        <w:t xml:space="preserve">määruses </w:t>
      </w:r>
      <w:commentRangeStart w:id="14"/>
      <w:commentRangeStart w:id="15"/>
      <w:r w:rsidR="00C85CEE" w:rsidRPr="00C85CEE">
        <w:rPr>
          <w:highlight w:val="yellow"/>
        </w:rPr>
        <w:t>käsitada olmejäätmetena</w:t>
      </w:r>
      <w:commentRangeEnd w:id="14"/>
      <w:r w:rsidR="005C5974">
        <w:rPr>
          <w:rStyle w:val="CommentReference"/>
          <w:rFonts w:asciiTheme="minorHAnsi" w:hAnsiTheme="minorHAnsi"/>
        </w:rPr>
        <w:commentReference w:id="14"/>
      </w:r>
      <w:commentRangeEnd w:id="15"/>
      <w:r w:rsidR="005D011B">
        <w:rPr>
          <w:rStyle w:val="CommentReference"/>
          <w:rFonts w:asciiTheme="minorHAnsi" w:hAnsiTheme="minorHAnsi"/>
        </w:rPr>
        <w:commentReference w:id="15"/>
      </w:r>
      <w:r w:rsidR="00C85CEE" w:rsidRPr="00C85CEE">
        <w:rPr>
          <w:highlight w:val="yellow"/>
        </w:rPr>
        <w:t xml:space="preserve">. Põhjalikumalt </w:t>
      </w:r>
      <w:r w:rsidR="00D66C00">
        <w:rPr>
          <w:highlight w:val="yellow"/>
        </w:rPr>
        <w:t>reguleerib</w:t>
      </w:r>
      <w:r w:rsidR="00D66C00" w:rsidRPr="00C85CEE">
        <w:rPr>
          <w:highlight w:val="yellow"/>
        </w:rPr>
        <w:t xml:space="preserve"> </w:t>
      </w:r>
      <w:r w:rsidR="00C85CEE" w:rsidRPr="00C85CEE">
        <w:rPr>
          <w:highlight w:val="yellow"/>
        </w:rPr>
        <w:lastRenderedPageBreak/>
        <w:t>kasutatud patareide ja akude käitlemist keskkonnaministri 10.</w:t>
      </w:r>
      <w:r w:rsidR="00D66C00">
        <w:rPr>
          <w:highlight w:val="yellow"/>
        </w:rPr>
        <w:t xml:space="preserve"> jaanuari </w:t>
      </w:r>
      <w:r w:rsidR="00C85CEE" w:rsidRPr="00C85CEE">
        <w:rPr>
          <w:highlight w:val="yellow"/>
        </w:rPr>
        <w:t>2008. a</w:t>
      </w:r>
      <w:r w:rsidR="00D66C00">
        <w:rPr>
          <w:highlight w:val="yellow"/>
        </w:rPr>
        <w:t>asta</w:t>
      </w:r>
      <w:r w:rsidR="00C85CEE" w:rsidRPr="00C85CEE">
        <w:rPr>
          <w:highlight w:val="yellow"/>
        </w:rPr>
        <w:t xml:space="preserve"> määrus nr 5 „Kasutatud patareide ja akude käitlusnõuded“</w:t>
      </w:r>
      <w:r w:rsidR="00D66C00">
        <w:rPr>
          <w:rStyle w:val="FootnoteReference"/>
          <w:highlight w:val="yellow"/>
        </w:rPr>
        <w:footnoteReference w:id="9"/>
      </w:r>
      <w:r w:rsidR="00C85CEE">
        <w:t xml:space="preserve">. </w:t>
      </w:r>
    </w:p>
    <w:p w14:paraId="4B155D10" w14:textId="77777777" w:rsidR="000D0219" w:rsidRDefault="000D0219" w:rsidP="000D0219">
      <w:pPr>
        <w:pStyle w:val="NoSpacing"/>
        <w:jc w:val="both"/>
        <w:rPr>
          <w:bCs/>
        </w:rPr>
      </w:pPr>
    </w:p>
    <w:p w14:paraId="0D9FFFF7" w14:textId="77777777" w:rsidR="000D0219" w:rsidRDefault="000D0219" w:rsidP="000D0219">
      <w:pPr>
        <w:pStyle w:val="NoSpacing"/>
        <w:jc w:val="both"/>
      </w:pPr>
      <w:r w:rsidRPr="00240B71">
        <w:rPr>
          <w:b/>
          <w:color w:val="0070C0"/>
        </w:rPr>
        <w:t>Lõike 1</w:t>
      </w:r>
      <w:r w:rsidRPr="00240B71">
        <w:rPr>
          <w:color w:val="0070C0"/>
        </w:rPr>
        <w:t xml:space="preserve"> </w:t>
      </w:r>
      <w:r w:rsidRPr="00B701C8">
        <w:t xml:space="preserve">kohaselt </w:t>
      </w:r>
      <w:r>
        <w:t>ei tohi ladustada jäätmeid ehitise välisseina läheduses selliselt, et see tekitab tuleohtu või raskendab päästetööd. Võrreldes kehtiva määrusega sõltub jäätmete ladustamise koht vaid ehitise välisseina lähedusest ja päästetöö takistamisest hoidumisest. Kehtiva määruse kohaselt tuleb jäätmete ladustamisel järgida ka kaugust kinnistu piirist. See nõue jäetakse eelnõuga välja, kuna seda on tiheasustusalal keeruline järgida. E</w:t>
      </w:r>
      <w:r w:rsidRPr="002E1219">
        <w:t xml:space="preserve">elkõige </w:t>
      </w:r>
      <w:r>
        <w:t>tuleb arvestada sellega</w:t>
      </w:r>
      <w:r w:rsidRPr="002E1219">
        <w:t xml:space="preserve">, et </w:t>
      </w:r>
      <w:r>
        <w:t>jäätmete ladustamine</w:t>
      </w:r>
      <w:r w:rsidRPr="002E1219">
        <w:t xml:space="preserve"> ei </w:t>
      </w:r>
      <w:r>
        <w:t>soodustaks</w:t>
      </w:r>
      <w:r w:rsidRPr="002E1219">
        <w:t xml:space="preserve"> tule levikut. Samas ei ole </w:t>
      </w:r>
      <w:r w:rsidRPr="00E26FFE">
        <w:t>kujas</w:t>
      </w:r>
      <w:r w:rsidRPr="002E1219">
        <w:t xml:space="preserve"> </w:t>
      </w:r>
      <w:r>
        <w:t>jäätmete</w:t>
      </w:r>
      <w:r w:rsidRPr="002E1219">
        <w:t xml:space="preserve"> ladustamise keeld absoluutne,</w:t>
      </w:r>
      <w:r>
        <w:t xml:space="preserve"> kuna</w:t>
      </w:r>
      <w:r w:rsidRPr="002E1219">
        <w:t xml:space="preserve"> väikeses koguses ladustamine ei tekita olulist ohtu. </w:t>
      </w:r>
      <w:r>
        <w:t>Alati tuleb</w:t>
      </w:r>
      <w:r w:rsidRPr="002E1219">
        <w:t xml:space="preserve"> arvesta</w:t>
      </w:r>
      <w:r>
        <w:t>d</w:t>
      </w:r>
      <w:r w:rsidRPr="002E1219">
        <w:t xml:space="preserve">a ka </w:t>
      </w:r>
      <w:r>
        <w:t>vajadusega</w:t>
      </w:r>
      <w:r w:rsidRPr="002E1219">
        <w:t xml:space="preserve"> </w:t>
      </w:r>
      <w:r>
        <w:t xml:space="preserve">tagada </w:t>
      </w:r>
      <w:r w:rsidRPr="002E1219">
        <w:t>päästjatele vajalik liikumisruum.</w:t>
      </w:r>
    </w:p>
    <w:p w14:paraId="4E2B4F57" w14:textId="77777777" w:rsidR="000D0219" w:rsidRDefault="000D0219" w:rsidP="000D0219">
      <w:pPr>
        <w:pStyle w:val="NoSpacing"/>
        <w:jc w:val="both"/>
      </w:pPr>
    </w:p>
    <w:p w14:paraId="6E8FA7AD" w14:textId="77777777" w:rsidR="000D0219" w:rsidRDefault="000D0219" w:rsidP="000D0219">
      <w:pPr>
        <w:pStyle w:val="NoSpacing"/>
        <w:jc w:val="both"/>
      </w:pPr>
      <w:r w:rsidRPr="00240B71">
        <w:rPr>
          <w:b/>
          <w:bCs/>
          <w:color w:val="0070C0"/>
        </w:rPr>
        <w:t>Lõike 2</w:t>
      </w:r>
      <w:r w:rsidRPr="00A24E48">
        <w:t xml:space="preserve"> k</w:t>
      </w:r>
      <w:r>
        <w:t>ohaselt loetakse eelnõu tähenduses jäätmete ladustamiseks üle 75 liitri jäätmete ladustamist konteineris, hoiukotis või muul viisil.</w:t>
      </w:r>
      <w:r w:rsidRPr="00AD645A">
        <w:t xml:space="preserve"> </w:t>
      </w:r>
      <w:r>
        <w:t>Võrreldes kehtiva määrusega on väiksem ladustatavate jäätmete kogus, millest alates nõuded kehtivad. Seda põhjusel, et eelnõuga reguleeritakse ka olmejäätmete ladustamist ja prügiettevõtjate väikseim jäätmekonteiner on 75</w:t>
      </w:r>
      <w:r>
        <w:noBreakHyphen/>
        <w:t xml:space="preserve">liitrine. Kui kasutatakse sellest väiksemat kogumiskonteinerit või hoiukotti, siis selle koguse kohta nõuded ei kehti. Silmas tuleb pidada, et nõuet kohaldatakse ka </w:t>
      </w:r>
      <w:r w:rsidRPr="00AD645A">
        <w:t>prügipressis ladustatava</w:t>
      </w:r>
      <w:r>
        <w:t>tele</w:t>
      </w:r>
      <w:r w:rsidRPr="00AD645A">
        <w:t xml:space="preserve"> </w:t>
      </w:r>
      <w:r>
        <w:t>jäätmetele</w:t>
      </w:r>
      <w:r w:rsidRPr="00AD645A">
        <w:t xml:space="preserve">, </w:t>
      </w:r>
      <w:r>
        <w:t>eelkõige</w:t>
      </w:r>
      <w:r w:rsidRPr="00AD645A">
        <w:t xml:space="preserve"> olukor</w:t>
      </w:r>
      <w:r>
        <w:t>ras</w:t>
      </w:r>
      <w:r w:rsidRPr="00AD645A">
        <w:t>, kus press ei töö</w:t>
      </w:r>
      <w:r>
        <w:t>ta</w:t>
      </w:r>
      <w:r w:rsidRPr="00AD645A">
        <w:t xml:space="preserve"> ja se</w:t>
      </w:r>
      <w:r>
        <w:t>lles</w:t>
      </w:r>
      <w:r w:rsidRPr="00AD645A">
        <w:t xml:space="preserve"> on põlevmaterjali</w:t>
      </w:r>
      <w:r>
        <w:t>. Kuna prügipress on ette nähtud p</w:t>
      </w:r>
      <w:r w:rsidRPr="00AD645A">
        <w:t xml:space="preserve">uidu, paberi, papi või kile </w:t>
      </w:r>
      <w:proofErr w:type="spellStart"/>
      <w:r w:rsidRPr="00AD645A">
        <w:t>kokkusurumiseks</w:t>
      </w:r>
      <w:proofErr w:type="spellEnd"/>
      <w:r>
        <w:t>, siis juhul, kui põlevmaterjal ei ole kokku pressitud, on tegemist selle ladustamisega. Seega tuleks prügipressi põlevmaterjali lisamisel panna see võimalikult sagedasti tööle, et selles oleks põlevmaterjali alati vähe.</w:t>
      </w:r>
    </w:p>
    <w:p w14:paraId="18208758" w14:textId="77777777" w:rsidR="000D0219" w:rsidRDefault="000D0219" w:rsidP="000D0219">
      <w:pPr>
        <w:pStyle w:val="NoSpacing"/>
        <w:jc w:val="both"/>
      </w:pPr>
    </w:p>
    <w:p w14:paraId="32F4F93C" w14:textId="16F330F5" w:rsidR="000D0219" w:rsidRDefault="000D0219" w:rsidP="000D0219">
      <w:pPr>
        <w:pStyle w:val="NoSpacing"/>
        <w:jc w:val="both"/>
      </w:pPr>
      <w:r w:rsidRPr="00240B71">
        <w:rPr>
          <w:b/>
          <w:bCs/>
          <w:color w:val="0070C0"/>
        </w:rPr>
        <w:t>Lõike 3</w:t>
      </w:r>
      <w:r w:rsidRPr="00A24E48">
        <w:t xml:space="preserve"> k</w:t>
      </w:r>
      <w:r>
        <w:t xml:space="preserve">ohaselt peab olema jäätmete ladustamise koht ohutus kauguses hoonest, milles on elu- või töökohad. Kui ohutu kaugus ei ole tõendatud muul usaldusväärsel viisil, loetakse selleks vähemalt neli meetrit süttiva pinnakihiga või mis tahes tulepüsivusega hoone välisseina ukse-, akna- või muust avast, välja arvatud ühe või kahe korteriga elamu puhul. Suurim muudatus on ohutus kauguses: kehtivas määruses on see kaks meetrit, kuid et eelnõuga sätestatakse nõuded ka olmejäätmete ladustamisele, on asjakohane nimetada ohutuskujana sama vahemaa, mis on nähtud ette eelnõu §-s </w:t>
      </w:r>
      <w:r w:rsidR="0070121E">
        <w:t>5</w:t>
      </w:r>
      <w:r>
        <w:t xml:space="preserve"> põlevmaterjali kohta. Samas sätestatakse, et seda nõuet ei pea järgima ühe või kahe korteriga elamu puhul. Seda eelkõige põhjusel, et sellises elamus on vähe inimesi ja ka olmejäätmete kogus seega väiksem. Lisaks ei pruugi väikesel kinnistul olla võimalik nelja meetri nõuet täita. E</w:t>
      </w:r>
      <w:r w:rsidRPr="00D4781C">
        <w:t>elnõu</w:t>
      </w:r>
      <w:r>
        <w:t>ga</w:t>
      </w:r>
      <w:r w:rsidRPr="00D4781C">
        <w:t xml:space="preserve"> täpsustat</w:t>
      </w:r>
      <w:r>
        <w:t>akse</w:t>
      </w:r>
      <w:r w:rsidRPr="003F7F5B">
        <w:t xml:space="preserve"> </w:t>
      </w:r>
      <w:r>
        <w:t>ka</w:t>
      </w:r>
      <w:r w:rsidRPr="00D4781C">
        <w:t xml:space="preserve">, et </w:t>
      </w:r>
      <w:r>
        <w:t>silmas on peetud</w:t>
      </w:r>
      <w:r w:rsidRPr="00D4781C">
        <w:t xml:space="preserve"> hoone</w:t>
      </w:r>
      <w:r>
        <w:t>t</w:t>
      </w:r>
      <w:r w:rsidRPr="00D4781C">
        <w:t>, kus inimesed elavad või töötavad ehk viibivad päeval või ö</w:t>
      </w:r>
      <w:r>
        <w:t>ö</w:t>
      </w:r>
      <w:r w:rsidRPr="00D4781C">
        <w:t>sel</w:t>
      </w:r>
      <w:r>
        <w:t>,</w:t>
      </w:r>
      <w:r w:rsidRPr="00D4781C">
        <w:t xml:space="preserve"> </w:t>
      </w:r>
      <w:r>
        <w:t xml:space="preserve">ja jäetakse välja seos kinnistu välispiiriga (vt § </w:t>
      </w:r>
      <w:r w:rsidR="0070121E">
        <w:t>6</w:t>
      </w:r>
      <w:r>
        <w:t xml:space="preserve"> lõike 2</w:t>
      </w:r>
      <w:r w:rsidRPr="00D4781C">
        <w:t xml:space="preserve"> </w:t>
      </w:r>
      <w:r>
        <w:t>selgitust).</w:t>
      </w:r>
    </w:p>
    <w:p w14:paraId="7B0A4A76" w14:textId="77777777" w:rsidR="000D0219" w:rsidRDefault="000D0219" w:rsidP="000D0219">
      <w:pPr>
        <w:pStyle w:val="NoSpacing"/>
        <w:jc w:val="both"/>
      </w:pPr>
    </w:p>
    <w:p w14:paraId="54D77EA3" w14:textId="56D4FBE7" w:rsidR="000D0219" w:rsidRDefault="000D0219" w:rsidP="000D0219">
      <w:pPr>
        <w:pStyle w:val="NoSpacing"/>
        <w:jc w:val="both"/>
      </w:pPr>
      <w:r w:rsidRPr="00240B71">
        <w:rPr>
          <w:b/>
          <w:bCs/>
          <w:color w:val="0070C0"/>
        </w:rPr>
        <w:t>Lõike 4</w:t>
      </w:r>
      <w:r w:rsidRPr="00A24E48">
        <w:t xml:space="preserve"> kohaselt </w:t>
      </w:r>
      <w:r w:rsidRPr="00B70F9A">
        <w:t xml:space="preserve">ei </w:t>
      </w:r>
      <w:r w:rsidR="00D66C00">
        <w:t xml:space="preserve">tohi </w:t>
      </w:r>
      <w:r w:rsidRPr="00B70F9A">
        <w:t>ladusta</w:t>
      </w:r>
      <w:r w:rsidR="00D66C00">
        <w:t>d</w:t>
      </w:r>
      <w:r w:rsidRPr="00B70F9A">
        <w:t xml:space="preserve">a </w:t>
      </w:r>
      <w:r>
        <w:t>j</w:t>
      </w:r>
      <w:r w:rsidRPr="00B70F9A">
        <w:t>äätmeid koos hõõguva söe, tuha, sigareti ega muu tuleohtliku esemega</w:t>
      </w:r>
      <w:r>
        <w:t>.</w:t>
      </w:r>
      <w:r w:rsidRPr="00AD645A">
        <w:t xml:space="preserve"> </w:t>
      </w:r>
      <w:r>
        <w:t>See nõue aitab oluliselt vähendada tulekahjuohtu, sest paljud tulekahjud on saanud alguse, kui hõõguv süsi või kustutamata sigarett on visatud plastkonteinerisse. Mõni jäätme</w:t>
      </w:r>
      <w:r>
        <w:softHyphen/>
        <w:t>konteinerite tootja on lisanud jäätmekonteinerite peale hoiatuse, et need ei ole mõeldud hõõguvate, sealhulgas kuumade esemete ladustamiseks. Kõige parem on, kui jäätmete ladustamise koht, konteiner ega hoiukott ei ole põlevmaterjalist.</w:t>
      </w:r>
    </w:p>
    <w:p w14:paraId="6A221119" w14:textId="77777777" w:rsidR="000D0219" w:rsidRDefault="000D0219" w:rsidP="000D0219">
      <w:pPr>
        <w:pStyle w:val="NoSpacing"/>
        <w:jc w:val="both"/>
      </w:pPr>
    </w:p>
    <w:p w14:paraId="585A4376" w14:textId="4FD15478" w:rsidR="009D05B5" w:rsidRDefault="009D05B5" w:rsidP="000D0219">
      <w:pPr>
        <w:pStyle w:val="NoSpacing"/>
        <w:jc w:val="both"/>
      </w:pPr>
      <w:bookmarkStart w:id="16" w:name="_Hlk157004147"/>
      <w:r w:rsidRPr="009D05B5">
        <w:rPr>
          <w:b/>
          <w:bCs/>
          <w:color w:val="0070C0"/>
          <w:highlight w:val="yellow"/>
        </w:rPr>
        <w:t>Lõi</w:t>
      </w:r>
      <w:r w:rsidR="00A031BC">
        <w:rPr>
          <w:b/>
          <w:bCs/>
          <w:color w:val="0070C0"/>
          <w:highlight w:val="yellow"/>
        </w:rPr>
        <w:t>k</w:t>
      </w:r>
      <w:r w:rsidRPr="009D05B5">
        <w:rPr>
          <w:b/>
          <w:bCs/>
          <w:color w:val="0070C0"/>
          <w:highlight w:val="yellow"/>
        </w:rPr>
        <w:t xml:space="preserve">e </w:t>
      </w:r>
      <w:r w:rsidRPr="009D05B5">
        <w:rPr>
          <w:b/>
          <w:bCs/>
          <w:color w:val="0070C0"/>
          <w:highlight w:val="yellow"/>
        </w:rPr>
        <w:t>5</w:t>
      </w:r>
      <w:r w:rsidRPr="009D05B5">
        <w:rPr>
          <w:color w:val="0070C0"/>
          <w:highlight w:val="yellow"/>
        </w:rPr>
        <w:t xml:space="preserve"> </w:t>
      </w:r>
      <w:r w:rsidRPr="00915D4E">
        <w:rPr>
          <w:highlight w:val="yellow"/>
        </w:rPr>
        <w:t>kohaselt</w:t>
      </w:r>
      <w:r w:rsidR="00915D4E" w:rsidRPr="00915D4E">
        <w:rPr>
          <w:highlight w:val="yellow"/>
        </w:rPr>
        <w:t xml:space="preserve"> peab ohtliku aine </w:t>
      </w:r>
      <w:r w:rsidR="00915D4E" w:rsidRPr="00C06CC1">
        <w:rPr>
          <w:highlight w:val="yellow"/>
        </w:rPr>
        <w:t xml:space="preserve">jäätmeid </w:t>
      </w:r>
      <w:r w:rsidR="00C06CC1" w:rsidRPr="00C06CC1">
        <w:rPr>
          <w:highlight w:val="yellow"/>
        </w:rPr>
        <w:t xml:space="preserve">kogumispunktis ja ladustamise kohas </w:t>
      </w:r>
      <w:r w:rsidR="00915D4E" w:rsidRPr="00C06CC1">
        <w:rPr>
          <w:highlight w:val="yellow"/>
        </w:rPr>
        <w:t xml:space="preserve">ladustama </w:t>
      </w:r>
      <w:r w:rsidR="00915D4E" w:rsidRPr="00915D4E">
        <w:rPr>
          <w:highlight w:val="yellow"/>
        </w:rPr>
        <w:t>käesoleva määruse ohtliku aine ladustamise tuleohutusnõudeid järgides. Ohtliku aine jäätmed on seega määruse kohaselt käsitatavad kui ohtlikud ained, mille ladustamisel tuleb olla väga hoolas</w:t>
      </w:r>
      <w:r w:rsidR="0031347D" w:rsidRPr="00084266">
        <w:rPr>
          <w:highlight w:val="yellow"/>
        </w:rPr>
        <w:t xml:space="preserve">, kuna ohtlikud jäätmed on jäätmed, mis võivad oma kahjuliku toime tõttu olla ohtlikud </w:t>
      </w:r>
      <w:r w:rsidR="0031347D" w:rsidRPr="00084266">
        <w:rPr>
          <w:highlight w:val="yellow"/>
        </w:rPr>
        <w:lastRenderedPageBreak/>
        <w:t>tervisele, varale või keskkonnale. Need omadused pärinevad üldjuhul jäätmetes sisalduvatest ohtlikest kemikaalidest. Ohtliku aine jäätmed võivad segunedes süttida, tekitada omavahel reageerides või tulekahjusse sattudes tõsiseid kahjusid</w:t>
      </w:r>
      <w:r w:rsidR="00915D4E" w:rsidRPr="00084266">
        <w:rPr>
          <w:highlight w:val="yellow"/>
        </w:rPr>
        <w:t>.</w:t>
      </w:r>
      <w:r w:rsidR="00915D4E" w:rsidRPr="00915D4E">
        <w:rPr>
          <w:highlight w:val="yellow"/>
        </w:rPr>
        <w:t xml:space="preserve"> </w:t>
      </w:r>
      <w:r w:rsidR="002451CA">
        <w:rPr>
          <w:highlight w:val="yellow"/>
        </w:rPr>
        <w:t>Kuna</w:t>
      </w:r>
      <w:r w:rsidR="00915D4E" w:rsidRPr="00915D4E">
        <w:rPr>
          <w:highlight w:val="yellow"/>
        </w:rPr>
        <w:t xml:space="preserve"> ohtlike ainete ladustamise nõudeid ei tule järgida kodumajapidamises ja </w:t>
      </w:r>
      <w:r w:rsidR="0031347D">
        <w:rPr>
          <w:highlight w:val="yellow"/>
        </w:rPr>
        <w:t>jaemüügis</w:t>
      </w:r>
      <w:r w:rsidR="00915D4E" w:rsidRPr="00915D4E">
        <w:rPr>
          <w:highlight w:val="yellow"/>
        </w:rPr>
        <w:t>, siis seal saab aluseks võtta üldised põlevmaterjali ja jäätmete ladustamise tuleohutusnõuded</w:t>
      </w:r>
      <w:r w:rsidR="0031347D">
        <w:rPr>
          <w:highlight w:val="yellow"/>
        </w:rPr>
        <w:t xml:space="preserve">, sest </w:t>
      </w:r>
      <w:r w:rsidR="0031347D" w:rsidRPr="00084266">
        <w:rPr>
          <w:highlight w:val="yellow"/>
        </w:rPr>
        <w:t xml:space="preserve">kodumajapidamises ja jaemüügis tuleb </w:t>
      </w:r>
      <w:r w:rsidR="00084266" w:rsidRPr="00084266">
        <w:rPr>
          <w:highlight w:val="yellow"/>
        </w:rPr>
        <w:t xml:space="preserve">samuti </w:t>
      </w:r>
      <w:r w:rsidR="0031347D" w:rsidRPr="00084266">
        <w:rPr>
          <w:highlight w:val="yellow"/>
        </w:rPr>
        <w:t xml:space="preserve">tagada ohtlike aine jäätmete </w:t>
      </w:r>
      <w:r w:rsidR="008B5463">
        <w:rPr>
          <w:highlight w:val="yellow"/>
        </w:rPr>
        <w:t>tule</w:t>
      </w:r>
      <w:r w:rsidR="00084266" w:rsidRPr="00084266">
        <w:rPr>
          <w:highlight w:val="yellow"/>
        </w:rPr>
        <w:t xml:space="preserve">ohutu </w:t>
      </w:r>
      <w:r w:rsidR="0031347D" w:rsidRPr="00084266">
        <w:rPr>
          <w:highlight w:val="yellow"/>
        </w:rPr>
        <w:t>ladustamine</w:t>
      </w:r>
      <w:r w:rsidR="00915D4E" w:rsidRPr="00C06CC1">
        <w:rPr>
          <w:highlight w:val="yellow"/>
        </w:rPr>
        <w:t xml:space="preserve">. </w:t>
      </w:r>
      <w:r w:rsidR="00C06CC1" w:rsidRPr="00C06CC1">
        <w:rPr>
          <w:highlight w:val="yellow"/>
        </w:rPr>
        <w:t xml:space="preserve">Küll aga peab ohtliku aine jäätmete kogumispunktis </w:t>
      </w:r>
      <w:r w:rsidR="002904B9">
        <w:rPr>
          <w:highlight w:val="yellow"/>
        </w:rPr>
        <w:t xml:space="preserve">ja ladustamise kohas </w:t>
      </w:r>
      <w:r w:rsidR="00C06CC1" w:rsidRPr="00C06CC1">
        <w:rPr>
          <w:highlight w:val="yellow"/>
        </w:rPr>
        <w:t>järgima ohtliku aine ladustamise tuleohutusnõudeid, et tagada võimalikult väike oht inimese elule ja tervisele ning keskkonnale.</w:t>
      </w:r>
      <w:r w:rsidR="00C06CC1">
        <w:t xml:space="preserve"> </w:t>
      </w:r>
    </w:p>
    <w:bookmarkEnd w:id="16"/>
    <w:p w14:paraId="1C70BC56" w14:textId="77777777" w:rsidR="009D05B5" w:rsidRPr="00B701C8" w:rsidRDefault="009D05B5" w:rsidP="000D0219">
      <w:pPr>
        <w:pStyle w:val="NoSpacing"/>
        <w:jc w:val="both"/>
      </w:pPr>
    </w:p>
    <w:p w14:paraId="37F6DCC6" w14:textId="2CA25517" w:rsidR="000D0219" w:rsidRPr="00B701C8" w:rsidRDefault="000D0219" w:rsidP="000D0219">
      <w:pPr>
        <w:pStyle w:val="NoSpacing"/>
        <w:jc w:val="both"/>
      </w:pPr>
      <w:bookmarkStart w:id="17" w:name="_Toc149306199"/>
      <w:r w:rsidRPr="00A24E48">
        <w:rPr>
          <w:rStyle w:val="Heading3Char"/>
        </w:rPr>
        <w:t xml:space="preserve">Eelnõu §-s </w:t>
      </w:r>
      <w:bookmarkEnd w:id="17"/>
      <w:r w:rsidR="00832E28">
        <w:rPr>
          <w:rStyle w:val="Heading3Char"/>
        </w:rPr>
        <w:t>8</w:t>
      </w:r>
      <w:r w:rsidRPr="00B701C8">
        <w:t xml:space="preserve"> sätestatakse nõuded </w:t>
      </w:r>
      <w:r>
        <w:t>s</w:t>
      </w:r>
      <w:r w:rsidRPr="00EF2AE3">
        <w:t>uures koguses põlevmaterjali lahti</w:t>
      </w:r>
      <w:r>
        <w:t>sele</w:t>
      </w:r>
      <w:r w:rsidRPr="00EF2AE3">
        <w:t xml:space="preserve"> ladustami</w:t>
      </w:r>
      <w:r>
        <w:t>sele</w:t>
      </w:r>
      <w:r w:rsidRPr="00EF2AE3">
        <w:t xml:space="preserve"> ja </w:t>
      </w:r>
      <w:r>
        <w:t>selle</w:t>
      </w:r>
      <w:r w:rsidRPr="00EF2AE3">
        <w:t xml:space="preserve"> plaan</w:t>
      </w:r>
      <w:r>
        <w:t>ile</w:t>
      </w:r>
      <w:r w:rsidRPr="00B701C8">
        <w:t>.</w:t>
      </w:r>
      <w:r>
        <w:t xml:space="preserve"> Ehkki ka kehtivas määruses on viidatud, et suures koguses põlevmaterjali ladustamise korral tuleb koostada ladustamise plaan, ei ole selle sisu täpsemalt avatud. Eelnõu lisas 2 </w:t>
      </w:r>
      <w:r>
        <w:rPr>
          <w:rFonts w:eastAsia="Times New Roman"/>
          <w:lang w:eastAsia="et-EE"/>
        </w:rPr>
        <w:t>„</w:t>
      </w:r>
      <w:r w:rsidRPr="001F195D">
        <w:rPr>
          <w:rFonts w:eastAsia="Times New Roman"/>
          <w:lang w:eastAsia="et-EE"/>
        </w:rPr>
        <w:t>Põlevmaterjali</w:t>
      </w:r>
      <w:r>
        <w:rPr>
          <w:rFonts w:eastAsia="Times New Roman"/>
          <w:lang w:eastAsia="et-EE"/>
        </w:rPr>
        <w:t xml:space="preserve"> lahtise</w:t>
      </w:r>
      <w:r w:rsidRPr="001F195D">
        <w:rPr>
          <w:rFonts w:eastAsia="Times New Roman"/>
          <w:lang w:eastAsia="et-EE"/>
        </w:rPr>
        <w:t xml:space="preserve"> ladustamise plaani näidis</w:t>
      </w:r>
      <w:r>
        <w:rPr>
          <w:rFonts w:eastAsia="Times New Roman"/>
          <w:lang w:eastAsia="et-EE"/>
        </w:rPr>
        <w:t>“</w:t>
      </w:r>
      <w:r>
        <w:t xml:space="preserve"> esitatakse näidis, milline võiks see plaan välja näha. Näidis sisaldab vajalikke vahemaid, kõrgusi ja muud olulist. Eelnõuga kaotatakse ära kohustus</w:t>
      </w:r>
      <w:r w:rsidRPr="00970208">
        <w:t xml:space="preserve"> </w:t>
      </w:r>
      <w:r>
        <w:t xml:space="preserve">kooskõlastada plaan </w:t>
      </w:r>
      <w:r>
        <w:t>Päästeameti asukohajärgse päästekeskusega, mis on Põhja, Ida, Lõuna või Lääne Päästekeskus.</w:t>
      </w:r>
      <w:r w:rsidR="005F34E9" w:rsidRPr="005F34E9">
        <w:t xml:space="preserve"> </w:t>
      </w:r>
      <w:r w:rsidR="00A54BA1" w:rsidRPr="0082499D">
        <w:rPr>
          <w:highlight w:val="yellow"/>
        </w:rPr>
        <w:t>Eelnõu koostajad juhivad tähelepanu, et t</w:t>
      </w:r>
      <w:r w:rsidR="005F34E9" w:rsidRPr="0082499D">
        <w:rPr>
          <w:highlight w:val="yellow"/>
        </w:rPr>
        <w:t xml:space="preserve">urba </w:t>
      </w:r>
      <w:r w:rsidR="00A54BA1" w:rsidRPr="0082499D">
        <w:rPr>
          <w:highlight w:val="yellow"/>
        </w:rPr>
        <w:t>kaevandamise aladele määruse nõuded ei kehti, sh ei kehti ka põlevmaterjali lahtise ladustamise plaani koostamise vajadus. Kuid kui turvas veetakse turba kaevandamise alalt ära ja ladustatakse asutuse</w:t>
      </w:r>
      <w:r w:rsidR="002451CA" w:rsidRPr="0082499D">
        <w:rPr>
          <w:highlight w:val="yellow"/>
        </w:rPr>
        <w:t xml:space="preserve"> või </w:t>
      </w:r>
      <w:r w:rsidR="00A54BA1" w:rsidRPr="0082499D">
        <w:rPr>
          <w:highlight w:val="yellow"/>
        </w:rPr>
        <w:t xml:space="preserve">ettevõtte ehitise territooriumile, siis tuleb juhinduda määruse nõuetest. Turba </w:t>
      </w:r>
      <w:r w:rsidR="005F34E9" w:rsidRPr="0082499D">
        <w:rPr>
          <w:highlight w:val="yellow"/>
        </w:rPr>
        <w:t>kaevandamine toimub looduses ja kaevandamist reguleeri</w:t>
      </w:r>
      <w:r w:rsidR="00A54BA1" w:rsidRPr="0082499D">
        <w:rPr>
          <w:highlight w:val="yellow"/>
        </w:rPr>
        <w:t>b</w:t>
      </w:r>
      <w:r w:rsidR="005F34E9" w:rsidRPr="0082499D">
        <w:rPr>
          <w:highlight w:val="yellow"/>
        </w:rPr>
        <w:t xml:space="preserve"> maapõueseadus ja selle rakendusaktid. Turvas</w:t>
      </w:r>
      <w:r w:rsidR="00A54BA1" w:rsidRPr="0082499D">
        <w:rPr>
          <w:highlight w:val="yellow"/>
        </w:rPr>
        <w:t>t saame lugeda</w:t>
      </w:r>
      <w:r w:rsidR="005F34E9" w:rsidRPr="0082499D">
        <w:rPr>
          <w:highlight w:val="yellow"/>
        </w:rPr>
        <w:t xml:space="preserve"> tuleohutuse seaduse </w:t>
      </w:r>
      <w:r w:rsidR="00A54BA1" w:rsidRPr="0082499D">
        <w:rPr>
          <w:highlight w:val="yellow"/>
        </w:rPr>
        <w:t>kohaselt põlevmaterjaliks, kui ta veetakse kaevandamise kohalt mujale.</w:t>
      </w:r>
      <w:r w:rsidR="00A54BA1">
        <w:t xml:space="preserve"> </w:t>
      </w:r>
      <w:r w:rsidR="005F34E9" w:rsidRPr="005F34E9">
        <w:t xml:space="preserve"> </w:t>
      </w:r>
    </w:p>
    <w:p w14:paraId="148078F7" w14:textId="77777777" w:rsidR="000D0219" w:rsidRDefault="000D0219" w:rsidP="000D0219">
      <w:pPr>
        <w:pStyle w:val="NoSpacing"/>
        <w:jc w:val="both"/>
      </w:pPr>
    </w:p>
    <w:p w14:paraId="1FAD57D3" w14:textId="348DCB8F" w:rsidR="000D0219" w:rsidRDefault="000D0219" w:rsidP="000D0219">
      <w:pPr>
        <w:pStyle w:val="NoSpacing"/>
        <w:jc w:val="both"/>
      </w:pPr>
      <w:r w:rsidRPr="00240B71">
        <w:rPr>
          <w:b/>
          <w:bCs/>
          <w:color w:val="0070C0"/>
        </w:rPr>
        <w:t>Lõike 1</w:t>
      </w:r>
      <w:r w:rsidRPr="00A24E48">
        <w:rPr>
          <w:b/>
          <w:bCs/>
        </w:rPr>
        <w:t xml:space="preserve"> </w:t>
      </w:r>
      <w:r w:rsidRPr="00240B71">
        <w:rPr>
          <w:u w:val="single"/>
        </w:rPr>
        <w:t>punkti 1</w:t>
      </w:r>
      <w:r w:rsidRPr="00A24E48">
        <w:t xml:space="preserve"> </w:t>
      </w:r>
      <w:r>
        <w:t xml:space="preserve">kohaselt nähakse ette, et kui ehitise territooriumil ladustatakse põlevmaterjali lahtiselt kokku üle 1000 kuupmeetri, peab tagama selle ohutu kauguse ehitisest ja muust põlevmaterjalist ning päästetöö võimalikkuse. See nõue on sarnane kehtiva määruse § 5 nõudele. Välja jäetakse vaid kinnistu välispiiriga arvestamise kohustus (vt § </w:t>
      </w:r>
      <w:r w:rsidR="0070121E">
        <w:t>6</w:t>
      </w:r>
      <w:r>
        <w:t xml:space="preserve"> selgitust).</w:t>
      </w:r>
    </w:p>
    <w:p w14:paraId="580F070D" w14:textId="77777777" w:rsidR="000D0219" w:rsidRDefault="000D0219" w:rsidP="000D0219">
      <w:pPr>
        <w:pStyle w:val="NoSpacing"/>
        <w:jc w:val="both"/>
      </w:pPr>
    </w:p>
    <w:p w14:paraId="538E6FEA" w14:textId="77777777" w:rsidR="000D0219" w:rsidRDefault="000D0219" w:rsidP="000D0219">
      <w:pPr>
        <w:pStyle w:val="NoSpacing"/>
        <w:jc w:val="both"/>
      </w:pPr>
      <w:r w:rsidRPr="00240B71">
        <w:rPr>
          <w:b/>
          <w:bCs/>
          <w:color w:val="0070C0"/>
        </w:rPr>
        <w:t>Lõike 1</w:t>
      </w:r>
      <w:r w:rsidRPr="00A24E48">
        <w:rPr>
          <w:b/>
          <w:bCs/>
        </w:rPr>
        <w:t xml:space="preserve"> </w:t>
      </w:r>
      <w:r w:rsidRPr="00240B71">
        <w:rPr>
          <w:u w:val="single"/>
        </w:rPr>
        <w:t>punkti 2</w:t>
      </w:r>
      <w:r w:rsidRPr="00A24E48">
        <w:t xml:space="preserve"> kohaselt </w:t>
      </w:r>
      <w:r>
        <w:t>nähakse ette, et kui ehitise territooriumil ladustatakse põlevmaterjali lahtiselt kokku üle 1000 kuupmeetri, peab koostama põlevmaterjali lahtise ladustamise plaani ja esitama selle enne ladustamist asukohajärgsele päästekeskusele.</w:t>
      </w:r>
    </w:p>
    <w:p w14:paraId="1A6836F5" w14:textId="77777777" w:rsidR="000D0219" w:rsidRDefault="000D0219" w:rsidP="000D0219">
      <w:pPr>
        <w:pStyle w:val="NoSpacing"/>
        <w:jc w:val="both"/>
      </w:pPr>
    </w:p>
    <w:p w14:paraId="2B110B67" w14:textId="77777777" w:rsidR="000D0219" w:rsidRDefault="000D0219" w:rsidP="000D0219">
      <w:pPr>
        <w:pStyle w:val="NoSpacing"/>
        <w:jc w:val="both"/>
      </w:pPr>
      <w:r>
        <w:t>Võrreldes kehtiva määrusega on eelnõus kaks muudatust.</w:t>
      </w:r>
    </w:p>
    <w:p w14:paraId="47EF4350" w14:textId="77777777" w:rsidR="000D0219" w:rsidRDefault="000D0219" w:rsidP="000D0219">
      <w:pPr>
        <w:pStyle w:val="NoSpacing"/>
        <w:jc w:val="both"/>
      </w:pPr>
    </w:p>
    <w:p w14:paraId="40F6262F" w14:textId="77777777" w:rsidR="000D0219" w:rsidRDefault="000D0219" w:rsidP="000D0219">
      <w:pPr>
        <w:pStyle w:val="NoSpacing"/>
        <w:numPr>
          <w:ilvl w:val="0"/>
          <w:numId w:val="7"/>
        </w:numPr>
        <w:jc w:val="both"/>
      </w:pPr>
      <w:r>
        <w:t xml:space="preserve">Põlevmaterjali lahtise ladustamise plaan tuleb edaspidi koostada juhul, kui põlevmaterjali ladustatakse lahtiselt ehitise territooriumil </w:t>
      </w:r>
      <w:r w:rsidRPr="00D55ADA">
        <w:rPr>
          <w:u w:val="single"/>
        </w:rPr>
        <w:t>kokku</w:t>
      </w:r>
      <w:r>
        <w:t xml:space="preserve"> rohkem kui 1000 kuupmeetrit. Kehtiva määruse kohaselt ei arvestata põlevmaterjali kogust tervikuna. Seega ei pea praegu plaani koostama näiteks juhul, kui ladustatakse ühes kohas 950 kuupmeetrit ja teises kohas samuti 950 kuupmeetrit. Samas on see võimaliku tulekahju korral suur kogus põlevmaterjali.</w:t>
      </w:r>
    </w:p>
    <w:p w14:paraId="3E23B5E9" w14:textId="77777777" w:rsidR="000D0219" w:rsidRDefault="000D0219" w:rsidP="000D0219">
      <w:pPr>
        <w:pStyle w:val="NoSpacing"/>
        <w:jc w:val="both"/>
      </w:pPr>
    </w:p>
    <w:p w14:paraId="7B068781" w14:textId="77777777" w:rsidR="000D0219" w:rsidRDefault="000D0219" w:rsidP="000D0219">
      <w:pPr>
        <w:pStyle w:val="NoSpacing"/>
        <w:numPr>
          <w:ilvl w:val="0"/>
          <w:numId w:val="7"/>
        </w:numPr>
        <w:jc w:val="both"/>
      </w:pPr>
      <w:r>
        <w:t xml:space="preserve">Reguleeritakse põlevmaterjali lahtise ladustamise plaani sisu, mistõttu ei ole plaani vaja enam Päästeametiga kooskõlastada, vaid see esitatakse </w:t>
      </w:r>
      <w:r w:rsidRPr="00D55ADA">
        <w:t>enne ladustamist</w:t>
      </w:r>
      <w:r>
        <w:t xml:space="preserve"> teadmiseks</w:t>
      </w:r>
      <w:r w:rsidRPr="00D55ADA">
        <w:t xml:space="preserve"> asukohajärgsele päästekeskusele</w:t>
      </w:r>
      <w:r>
        <w:t>. Nii saab Päästeamet võimaliku õnnetuse korral reageerimiseks vajaliku teabe. Vajadusel on Päästeametil võimalik endiselt küsida lisainfot, kuid enam pole vaja plaani kooskõlastada.</w:t>
      </w:r>
    </w:p>
    <w:p w14:paraId="4489543A" w14:textId="77777777" w:rsidR="000D0219" w:rsidRDefault="000D0219" w:rsidP="000D0219">
      <w:pPr>
        <w:pStyle w:val="NoSpacing"/>
        <w:jc w:val="both"/>
      </w:pPr>
    </w:p>
    <w:p w14:paraId="6371125B" w14:textId="77777777" w:rsidR="000D0219" w:rsidRDefault="000D0219" w:rsidP="000D0219">
      <w:pPr>
        <w:pStyle w:val="NoSpacing"/>
        <w:jc w:val="both"/>
      </w:pPr>
      <w:r w:rsidRPr="00240B71">
        <w:rPr>
          <w:b/>
          <w:bCs/>
          <w:color w:val="0070C0"/>
        </w:rPr>
        <w:t>Lõikes 2</w:t>
      </w:r>
      <w:r w:rsidRPr="00A24E48">
        <w:t xml:space="preserve"> </w:t>
      </w:r>
      <w:r>
        <w:t>määratakse teave, mida tuleb põlevmaterjali lahtise ladustamise plaanis kajastada. Plaan võib koosneda kirjeldusest ja skeemist, aga kogu info võib olla ka skeemil. Oluline on mõelda plaani koostamisel läbi kõik vajalikud aspektid ja võtta meetmeid tuleohu vähendamiseks.</w:t>
      </w:r>
    </w:p>
    <w:p w14:paraId="03DA0C5F" w14:textId="77777777" w:rsidR="000D0219" w:rsidRDefault="000D0219" w:rsidP="000D0219">
      <w:pPr>
        <w:pStyle w:val="NoSpacing"/>
        <w:jc w:val="both"/>
      </w:pPr>
    </w:p>
    <w:p w14:paraId="5F194DC9" w14:textId="77777777" w:rsidR="000D0219" w:rsidRDefault="000D0219" w:rsidP="000D0219">
      <w:pPr>
        <w:pStyle w:val="NoSpacing"/>
        <w:numPr>
          <w:ilvl w:val="0"/>
          <w:numId w:val="8"/>
        </w:numPr>
        <w:jc w:val="both"/>
      </w:pPr>
      <w:r>
        <w:t xml:space="preserve">Kõigepealt esitatakse plaanis põlevmaterjali lahtise </w:t>
      </w:r>
      <w:r w:rsidRPr="000B0901">
        <w:t>l</w:t>
      </w:r>
      <w:r>
        <w:t>adustamise ala asukoha aadress ja katastri number.</w:t>
      </w:r>
    </w:p>
    <w:p w14:paraId="68C9F77A" w14:textId="77777777" w:rsidR="000D0219" w:rsidRDefault="000D0219" w:rsidP="000D0219">
      <w:pPr>
        <w:pStyle w:val="NoSpacing"/>
        <w:jc w:val="both"/>
      </w:pPr>
    </w:p>
    <w:p w14:paraId="2727ECE5" w14:textId="77777777" w:rsidR="000D0219" w:rsidRDefault="000D0219" w:rsidP="000D0219">
      <w:pPr>
        <w:pStyle w:val="NoSpacing"/>
        <w:numPr>
          <w:ilvl w:val="0"/>
          <w:numId w:val="8"/>
        </w:numPr>
        <w:jc w:val="both"/>
      </w:pPr>
      <w:r>
        <w:t>Samuti esitatakse iga auna või virna kohta selle:</w:t>
      </w:r>
    </w:p>
    <w:p w14:paraId="41B7E468" w14:textId="77777777" w:rsidR="000D0219" w:rsidRDefault="000D0219" w:rsidP="000D0219">
      <w:pPr>
        <w:pStyle w:val="NoSpacing"/>
        <w:numPr>
          <w:ilvl w:val="0"/>
          <w:numId w:val="10"/>
        </w:numPr>
        <w:jc w:val="both"/>
      </w:pPr>
      <w:r>
        <w:t>paiknemise koht;</w:t>
      </w:r>
    </w:p>
    <w:p w14:paraId="46C2541B" w14:textId="77777777" w:rsidR="000D0219" w:rsidRDefault="000D0219" w:rsidP="000D0219">
      <w:pPr>
        <w:pStyle w:val="NoSpacing"/>
        <w:numPr>
          <w:ilvl w:val="0"/>
          <w:numId w:val="10"/>
        </w:numPr>
        <w:jc w:val="both"/>
      </w:pPr>
      <w:r>
        <w:t>laius meetrites;</w:t>
      </w:r>
    </w:p>
    <w:p w14:paraId="28215FFC" w14:textId="77777777" w:rsidR="000D0219" w:rsidRDefault="000D0219" w:rsidP="000D0219">
      <w:pPr>
        <w:pStyle w:val="NoSpacing"/>
        <w:numPr>
          <w:ilvl w:val="0"/>
          <w:numId w:val="10"/>
        </w:numPr>
        <w:jc w:val="both"/>
      </w:pPr>
      <w:r>
        <w:t xml:space="preserve">kõrgus meetrites – </w:t>
      </w:r>
      <w:r w:rsidRPr="00ED168D">
        <w:t xml:space="preserve">päästjatele on äärmiselt oluline, et </w:t>
      </w:r>
      <w:r>
        <w:t>kõrgus</w:t>
      </w:r>
      <w:r w:rsidRPr="00ED168D">
        <w:t xml:space="preserve"> ei ületaks üheksat meetrit, sest sellest üle hakkab kustutustehnika võimekus langema</w:t>
      </w:r>
      <w:r>
        <w:t>;</w:t>
      </w:r>
    </w:p>
    <w:p w14:paraId="236C07A9" w14:textId="77777777" w:rsidR="000D0219" w:rsidRDefault="000D0219" w:rsidP="000D0219">
      <w:pPr>
        <w:pStyle w:val="NoSpacing"/>
        <w:numPr>
          <w:ilvl w:val="0"/>
          <w:numId w:val="10"/>
        </w:numPr>
        <w:jc w:val="both"/>
      </w:pPr>
      <w:r>
        <w:t>pikkus meetrites;</w:t>
      </w:r>
    </w:p>
    <w:p w14:paraId="026EB251" w14:textId="77777777" w:rsidR="000D0219" w:rsidRDefault="000D0219" w:rsidP="000D0219">
      <w:pPr>
        <w:pStyle w:val="NoSpacing"/>
        <w:numPr>
          <w:ilvl w:val="0"/>
          <w:numId w:val="10"/>
        </w:numPr>
        <w:jc w:val="both"/>
      </w:pPr>
      <w:r>
        <w:t>ümbermõõt meetrites – siseministri 18. veebruari 2021. aasta määruse nr 10 „Veevõtu</w:t>
      </w:r>
      <w:r>
        <w:softHyphen/>
        <w:t>koha rajamise, katsetamise, kasutamise, korrashoiu, tähistamise ja teabevahetuse nõuded, tingimused ning kord“ § 7 lõikes 7 on sätestatud, et üle 200 m</w:t>
      </w:r>
      <w:r w:rsidRPr="00320848">
        <w:rPr>
          <w:vertAlign w:val="superscript"/>
        </w:rPr>
        <w:t>3</w:t>
      </w:r>
      <w:r>
        <w:t xml:space="preserve"> pindalaga põlevmaterjali alalise ladustamisala kustutusvee vooluhulk määratakse ladustamisala ümbermõõdu järgi, arvestades iga 50 meetri kohta vooluhulgaks 10 l/s. Seega on selline parameeter oluline, et määrata vajaliku kustutusvee vooluhulk;</w:t>
      </w:r>
    </w:p>
    <w:p w14:paraId="6BBB91AF" w14:textId="77777777" w:rsidR="000D0219" w:rsidRDefault="000D0219" w:rsidP="000D0219">
      <w:pPr>
        <w:pStyle w:val="NoSpacing"/>
        <w:numPr>
          <w:ilvl w:val="0"/>
          <w:numId w:val="10"/>
        </w:numPr>
        <w:jc w:val="both"/>
      </w:pPr>
      <w:r>
        <w:t xml:space="preserve">põlevmaterjali maksimumkogus kuupmeetrites – </w:t>
      </w:r>
      <w:r w:rsidRPr="00ED168D">
        <w:t xml:space="preserve">esitada tuleb </w:t>
      </w:r>
      <w:r>
        <w:t xml:space="preserve">põlevmaterjali </w:t>
      </w:r>
      <w:r w:rsidRPr="00ED168D">
        <w:t>maksi</w:t>
      </w:r>
      <w:r>
        <w:softHyphen/>
      </w:r>
      <w:r w:rsidRPr="00ED168D">
        <w:t xml:space="preserve">mumkogus, mida </w:t>
      </w:r>
      <w:proofErr w:type="spellStart"/>
      <w:r w:rsidRPr="00ED168D">
        <w:t>ladustaja</w:t>
      </w:r>
      <w:proofErr w:type="spellEnd"/>
      <w:r w:rsidRPr="00ED168D">
        <w:t xml:space="preserve"> tahab </w:t>
      </w:r>
      <w:r>
        <w:t>aunas või virnas</w:t>
      </w:r>
      <w:r w:rsidRPr="00ED168D">
        <w:t xml:space="preserve"> ladustada. Kui põlevmaterjali tegelik kogus jääb alla selle, on see igati sobilik</w:t>
      </w:r>
      <w:r>
        <w:t>.</w:t>
      </w:r>
      <w:r w:rsidRPr="00ED168D">
        <w:t xml:space="preserve"> </w:t>
      </w:r>
      <w:r>
        <w:t>S</w:t>
      </w:r>
      <w:r w:rsidRPr="00ED168D">
        <w:t>am</w:t>
      </w:r>
      <w:r>
        <w:t>uti</w:t>
      </w:r>
      <w:r w:rsidRPr="00ED168D">
        <w:t>, kui soovitakse kogus</w:t>
      </w:r>
      <w:r>
        <w:t>t</w:t>
      </w:r>
      <w:r w:rsidRPr="00ED168D">
        <w:t xml:space="preserve"> suurendada</w:t>
      </w:r>
      <w:r>
        <w:t>,</w:t>
      </w:r>
      <w:r w:rsidRPr="00ED168D">
        <w:t xml:space="preserve"> jäädes </w:t>
      </w:r>
      <w:r>
        <w:t>esitatud</w:t>
      </w:r>
      <w:r w:rsidRPr="00ED168D">
        <w:t xml:space="preserve"> maksimum</w:t>
      </w:r>
      <w:r>
        <w:t>koguse</w:t>
      </w:r>
      <w:r w:rsidRPr="00ED168D">
        <w:t xml:space="preserve"> piiresse, ei tule iga kord </w:t>
      </w:r>
      <w:r>
        <w:t>koostada</w:t>
      </w:r>
      <w:r w:rsidRPr="00ED168D">
        <w:t xml:space="preserve"> </w:t>
      </w:r>
      <w:r>
        <w:t xml:space="preserve">ja esitada </w:t>
      </w:r>
      <w:r w:rsidRPr="00ED2AB4">
        <w:t>Pääste</w:t>
      </w:r>
      <w:r>
        <w:softHyphen/>
      </w:r>
      <w:r w:rsidRPr="00ED2AB4">
        <w:t xml:space="preserve">ametile </w:t>
      </w:r>
      <w:r w:rsidRPr="00ED168D">
        <w:t>uut plaani</w:t>
      </w:r>
      <w:r>
        <w:t>;</w:t>
      </w:r>
    </w:p>
    <w:p w14:paraId="15D0D2A0" w14:textId="77777777" w:rsidR="000D0219" w:rsidRDefault="000D0219" w:rsidP="000D0219">
      <w:pPr>
        <w:pStyle w:val="NoSpacing"/>
        <w:numPr>
          <w:ilvl w:val="0"/>
          <w:numId w:val="10"/>
        </w:numPr>
        <w:jc w:val="both"/>
      </w:pPr>
      <w:r>
        <w:t>põlevmaterjali liik;</w:t>
      </w:r>
    </w:p>
    <w:p w14:paraId="072D0BD6" w14:textId="77777777" w:rsidR="000D0219" w:rsidRDefault="000D0219" w:rsidP="000D0219">
      <w:pPr>
        <w:pStyle w:val="NoSpacing"/>
        <w:numPr>
          <w:ilvl w:val="0"/>
          <w:numId w:val="10"/>
        </w:numPr>
        <w:jc w:val="both"/>
      </w:pPr>
      <w:r>
        <w:t>vahemaa kõrval paikneva teise auna või virnani meetrites;</w:t>
      </w:r>
    </w:p>
    <w:p w14:paraId="662BBDB2" w14:textId="77777777" w:rsidR="000D0219" w:rsidRDefault="000D0219" w:rsidP="000D0219">
      <w:pPr>
        <w:pStyle w:val="NoSpacing"/>
        <w:numPr>
          <w:ilvl w:val="0"/>
          <w:numId w:val="10"/>
        </w:numPr>
        <w:jc w:val="both"/>
      </w:pPr>
      <w:r>
        <w:t>vahemaa kõrval paikneva hooneni meetrites.</w:t>
      </w:r>
    </w:p>
    <w:p w14:paraId="37195545" w14:textId="77777777" w:rsidR="000D0219" w:rsidRDefault="000D0219" w:rsidP="000D0219">
      <w:pPr>
        <w:pStyle w:val="NoSpacing"/>
        <w:jc w:val="both"/>
      </w:pPr>
    </w:p>
    <w:p w14:paraId="61E8F85A" w14:textId="77777777" w:rsidR="000D0219" w:rsidRDefault="000D0219" w:rsidP="000D0219">
      <w:pPr>
        <w:pStyle w:val="NoSpacing"/>
        <w:numPr>
          <w:ilvl w:val="0"/>
          <w:numId w:val="8"/>
        </w:numPr>
        <w:jc w:val="both"/>
      </w:pPr>
      <w:r>
        <w:t>Oluline on, et plaanis kajastuksid kõik põlevmaterjali lahtise ladustamise alaga samal kinnistul paiknevad hooned ja nende tuleohutusklassid (TP1, TP2 või TP3) ning naaber</w:t>
      </w:r>
      <w:r>
        <w:softHyphen/>
        <w:t xml:space="preserve">kinnistul paiknevad hooned ja nende tuleohutusklassid (TP1, TP2 või TP3). Juhul, kui vahemaa põlevmaterjali lahtise </w:t>
      </w:r>
      <w:r w:rsidRPr="002161B7">
        <w:t>ladustamis</w:t>
      </w:r>
      <w:r>
        <w:t xml:space="preserve">e ala piirist </w:t>
      </w:r>
      <w:r w:rsidRPr="00273FC5">
        <w:t xml:space="preserve">naaberkinnistu </w:t>
      </w:r>
      <w:r>
        <w:t xml:space="preserve">hooneni on üle 36 meetri, </w:t>
      </w:r>
      <w:bookmarkStart w:id="18" w:name="_Hlk133324585"/>
      <w:r>
        <w:t xml:space="preserve">ei pea naaberkinnistu hooneid </w:t>
      </w:r>
      <w:bookmarkEnd w:id="18"/>
      <w:r>
        <w:t>ja nende tuleohutusklasse kajastama.</w:t>
      </w:r>
    </w:p>
    <w:p w14:paraId="418C8F0E" w14:textId="77777777" w:rsidR="000D0219" w:rsidRDefault="000D0219" w:rsidP="000D0219">
      <w:pPr>
        <w:pStyle w:val="NoSpacing"/>
        <w:jc w:val="both"/>
      </w:pPr>
    </w:p>
    <w:p w14:paraId="4858D750" w14:textId="77777777" w:rsidR="000D0219" w:rsidRDefault="000D0219" w:rsidP="000D0219">
      <w:pPr>
        <w:pStyle w:val="NoSpacing"/>
        <w:numPr>
          <w:ilvl w:val="0"/>
          <w:numId w:val="8"/>
        </w:numPr>
        <w:jc w:val="both"/>
      </w:pPr>
      <w:r>
        <w:t>Oluline teave on ka veevõtukoht, mille kohta tuleb märkida:</w:t>
      </w:r>
    </w:p>
    <w:p w14:paraId="1348FFFE" w14:textId="77777777" w:rsidR="000D0219" w:rsidRDefault="000D0219" w:rsidP="000D0219">
      <w:pPr>
        <w:pStyle w:val="NoSpacing"/>
        <w:numPr>
          <w:ilvl w:val="0"/>
          <w:numId w:val="12"/>
        </w:numPr>
        <w:jc w:val="both"/>
      </w:pPr>
      <w:r>
        <w:t>selle paiknemise koht;</w:t>
      </w:r>
    </w:p>
    <w:p w14:paraId="72916446" w14:textId="77777777" w:rsidR="000D0219" w:rsidRDefault="000D0219" w:rsidP="000D0219">
      <w:pPr>
        <w:pStyle w:val="NoSpacing"/>
        <w:numPr>
          <w:ilvl w:val="0"/>
          <w:numId w:val="12"/>
        </w:numPr>
        <w:jc w:val="both"/>
      </w:pPr>
      <w:r>
        <w:t xml:space="preserve">vahemaa põlevmaterjali </w:t>
      </w:r>
      <w:r w:rsidRPr="002161B7">
        <w:t>la</w:t>
      </w:r>
      <w:r>
        <w:t>htise ladustamise ala kõige kaugema välisääreni (meetrites);</w:t>
      </w:r>
    </w:p>
    <w:p w14:paraId="4EC0C9B0" w14:textId="77777777" w:rsidR="000D0219" w:rsidRDefault="000D0219" w:rsidP="000D0219">
      <w:pPr>
        <w:pStyle w:val="NoSpacing"/>
        <w:numPr>
          <w:ilvl w:val="0"/>
          <w:numId w:val="12"/>
        </w:numPr>
        <w:jc w:val="both"/>
      </w:pPr>
      <w:r>
        <w:t>veeallika tüüp (survestatud või survestamata) ja</w:t>
      </w:r>
    </w:p>
    <w:p w14:paraId="5506534E" w14:textId="77777777" w:rsidR="000D0219" w:rsidRDefault="000D0219" w:rsidP="000D0219">
      <w:pPr>
        <w:pStyle w:val="NoSpacing"/>
        <w:numPr>
          <w:ilvl w:val="0"/>
          <w:numId w:val="12"/>
        </w:numPr>
        <w:jc w:val="both"/>
      </w:pPr>
      <w:r>
        <w:t>veevooluhulk (liitrit/sekundis) või vee kogus (kuupmeetrites).</w:t>
      </w:r>
    </w:p>
    <w:p w14:paraId="6EB6C687" w14:textId="77777777" w:rsidR="000D0219" w:rsidRDefault="000D0219" w:rsidP="000D0219">
      <w:pPr>
        <w:pStyle w:val="NoSpacing"/>
        <w:ind w:left="423"/>
        <w:jc w:val="both"/>
      </w:pPr>
      <w:r>
        <w:t>See teave on olemas veevõtukoha omanikul või on andmed kättesaadavad ehitisregistris.</w:t>
      </w:r>
    </w:p>
    <w:p w14:paraId="74EB1829" w14:textId="77777777" w:rsidR="000D0219" w:rsidRDefault="000D0219" w:rsidP="000D0219">
      <w:pPr>
        <w:pStyle w:val="NoSpacing"/>
        <w:jc w:val="both"/>
      </w:pPr>
    </w:p>
    <w:p w14:paraId="7A0AC51E" w14:textId="77777777" w:rsidR="000D0219" w:rsidRDefault="000D0219" w:rsidP="000D0219">
      <w:pPr>
        <w:pStyle w:val="NoSpacing"/>
        <w:numPr>
          <w:ilvl w:val="0"/>
          <w:numId w:val="8"/>
        </w:numPr>
        <w:jc w:val="both"/>
      </w:pPr>
      <w:r>
        <w:t xml:space="preserve">Plaanis tuleb näidata ka päästesõiduki juurdesõiduteed põlevmaterjali lahtise </w:t>
      </w:r>
      <w:r w:rsidRPr="00004DB0">
        <w:t>ladustamis</w:t>
      </w:r>
      <w:r>
        <w:t xml:space="preserve">e </w:t>
      </w:r>
      <w:r w:rsidRPr="00004DB0">
        <w:t>alale</w:t>
      </w:r>
      <w:r>
        <w:t xml:space="preserve"> ja veevõtukohale ning kõvendatud pinnase materjal, näiteks asfalt, betoon või killustik. Samuti on oluline, et plaanis oleks kajastatud juurdesõiduteede laiust ning aiaga piiratud territooriumil väravate asukohta ning nende laiust ja kõrgust. See teave on vajalik päästemeeskonnale, et planeerida põlevmaterjali lahtise ladustamise alale</w:t>
      </w:r>
      <w:r w:rsidRPr="0094769C">
        <w:t xml:space="preserve"> </w:t>
      </w:r>
      <w:r>
        <w:t>juurdepääsu.</w:t>
      </w:r>
    </w:p>
    <w:p w14:paraId="0A390337" w14:textId="77777777" w:rsidR="000D0219" w:rsidRDefault="000D0219" w:rsidP="000D0219">
      <w:pPr>
        <w:pStyle w:val="NoSpacing"/>
        <w:jc w:val="both"/>
      </w:pPr>
    </w:p>
    <w:p w14:paraId="483D1D70" w14:textId="77777777" w:rsidR="000D0219" w:rsidRDefault="000D0219" w:rsidP="000D0219">
      <w:pPr>
        <w:pStyle w:val="NoSpacing"/>
        <w:numPr>
          <w:ilvl w:val="0"/>
          <w:numId w:val="8"/>
        </w:numPr>
        <w:jc w:val="both"/>
      </w:pPr>
      <w:r>
        <w:t xml:space="preserve">Viimaseks on vaja tuua plaanis ära </w:t>
      </w:r>
      <w:proofErr w:type="spellStart"/>
      <w:r>
        <w:t>ladustaja</w:t>
      </w:r>
      <w:proofErr w:type="spellEnd"/>
      <w:r>
        <w:t xml:space="preserve"> kontaktandmed ja plaani koostaja.</w:t>
      </w:r>
    </w:p>
    <w:p w14:paraId="6B9F1DF6" w14:textId="77777777" w:rsidR="000D0219" w:rsidRDefault="000D0219" w:rsidP="000D0219">
      <w:pPr>
        <w:pStyle w:val="NoSpacing"/>
        <w:jc w:val="both"/>
      </w:pPr>
    </w:p>
    <w:p w14:paraId="524D631F" w14:textId="109D45AD" w:rsidR="000D0219" w:rsidRPr="00B701C8" w:rsidRDefault="000D0219" w:rsidP="000D0219">
      <w:pPr>
        <w:pStyle w:val="NoSpacing"/>
        <w:jc w:val="both"/>
      </w:pPr>
      <w:r w:rsidRPr="00240B71">
        <w:rPr>
          <w:b/>
          <w:bCs/>
          <w:color w:val="0070C0"/>
        </w:rPr>
        <w:lastRenderedPageBreak/>
        <w:t>Lõike 3</w:t>
      </w:r>
      <w:r w:rsidRPr="005E26BB">
        <w:t xml:space="preserve"> kohaselt </w:t>
      </w:r>
      <w:r>
        <w:t>juhindutakse põlevmaterjali lahtise ladustamise plaani koostamisel eelnõu lisast 2 „</w:t>
      </w:r>
      <w:r w:rsidRPr="00A26F21">
        <w:t xml:space="preserve">Põlevmaterjali </w:t>
      </w:r>
      <w:r>
        <w:t xml:space="preserve">lahtise </w:t>
      </w:r>
      <w:r w:rsidRPr="00A26F21">
        <w:t>ladustamise plaani näidis</w:t>
      </w:r>
      <w:r>
        <w:t>“</w:t>
      </w:r>
      <w:r w:rsidR="00D77717">
        <w:t xml:space="preserve"> </w:t>
      </w:r>
      <w:r w:rsidR="008B5463">
        <w:t xml:space="preserve">ja </w:t>
      </w:r>
      <w:r w:rsidR="00D77717">
        <w:t xml:space="preserve">abimaterjalina saab </w:t>
      </w:r>
      <w:r w:rsidR="00D77717" w:rsidRPr="00D77717">
        <w:rPr>
          <w:highlight w:val="yellow"/>
        </w:rPr>
        <w:t>kasutada</w:t>
      </w:r>
      <w:r w:rsidRPr="00D77717">
        <w:rPr>
          <w:highlight w:val="yellow"/>
        </w:rPr>
        <w:t xml:space="preserve"> </w:t>
      </w:r>
      <w:r w:rsidR="00D77717" w:rsidRPr="00D77717">
        <w:rPr>
          <w:highlight w:val="yellow"/>
        </w:rPr>
        <w:t>k</w:t>
      </w:r>
      <w:r w:rsidRPr="00D77717">
        <w:rPr>
          <w:highlight w:val="yellow"/>
        </w:rPr>
        <w:t>a Päästeameti juhendit</w:t>
      </w:r>
      <w:r>
        <w:rPr>
          <w:rStyle w:val="FootnoteReference"/>
        </w:rPr>
        <w:footnoteReference w:id="10"/>
      </w:r>
      <w:r w:rsidRPr="0092214A">
        <w:t>.</w:t>
      </w:r>
    </w:p>
    <w:p w14:paraId="26345313" w14:textId="77777777" w:rsidR="000D0219" w:rsidRDefault="000D0219" w:rsidP="000D0219">
      <w:pPr>
        <w:pStyle w:val="NoSpacing"/>
        <w:jc w:val="both"/>
      </w:pPr>
    </w:p>
    <w:p w14:paraId="0497EE3C" w14:textId="7F287AE7" w:rsidR="00E160F3" w:rsidRPr="0082499D" w:rsidRDefault="000D0219" w:rsidP="00E160F3">
      <w:pPr>
        <w:pStyle w:val="NoSpacing"/>
        <w:keepNext/>
        <w:jc w:val="both"/>
        <w:rPr>
          <w:highlight w:val="yellow"/>
        </w:rPr>
      </w:pPr>
      <w:bookmarkStart w:id="19" w:name="_Toc149306201"/>
      <w:r w:rsidRPr="005E26BB">
        <w:rPr>
          <w:rStyle w:val="Heading3Char"/>
        </w:rPr>
        <w:t xml:space="preserve">Eelnõu §-s </w:t>
      </w:r>
      <w:bookmarkEnd w:id="19"/>
      <w:r w:rsidR="00C06CC1">
        <w:rPr>
          <w:rStyle w:val="Heading3Char"/>
        </w:rPr>
        <w:t>9</w:t>
      </w:r>
      <w:r w:rsidR="00C06CC1" w:rsidRPr="00B701C8">
        <w:t xml:space="preserve"> </w:t>
      </w:r>
      <w:r>
        <w:t>sätestatakse o</w:t>
      </w:r>
      <w:r w:rsidRPr="00EF2AE3">
        <w:t>htlik</w:t>
      </w:r>
      <w:r>
        <w:t>u</w:t>
      </w:r>
      <w:r w:rsidRPr="00EF2AE3">
        <w:t xml:space="preserve"> aine ladustamise </w:t>
      </w:r>
      <w:r>
        <w:t>tuleohutus</w:t>
      </w:r>
      <w:r w:rsidRPr="00EF2AE3">
        <w:t>nõuded</w:t>
      </w:r>
      <w:r w:rsidRPr="00B701C8">
        <w:t>.</w:t>
      </w:r>
      <w:r w:rsidR="005F34E9">
        <w:t xml:space="preserve"> </w:t>
      </w:r>
      <w:r w:rsidR="009C267A" w:rsidRPr="0082499D">
        <w:rPr>
          <w:highlight w:val="yellow"/>
        </w:rPr>
        <w:t>Päästeamet viis 15.02-12.03.2021 läbi kemikaaliohutuse reid</w:t>
      </w:r>
      <w:r w:rsidR="00AA058A" w:rsidRPr="0082499D">
        <w:rPr>
          <w:highlight w:val="yellow"/>
        </w:rPr>
        <w:t>i</w:t>
      </w:r>
      <w:r w:rsidR="009C267A" w:rsidRPr="0082499D">
        <w:rPr>
          <w:highlight w:val="yellow"/>
        </w:rPr>
        <w:t>, mille ajal kontrolliti üle Eesti 54 asutust</w:t>
      </w:r>
      <w:r w:rsidR="002904B9" w:rsidRPr="0082499D">
        <w:rPr>
          <w:highlight w:val="yellow"/>
        </w:rPr>
        <w:t>, mis ei olnud suurõnnetuse ohuga või ohtlikud ettevõtted</w:t>
      </w:r>
      <w:r w:rsidR="009C267A" w:rsidRPr="0082499D">
        <w:rPr>
          <w:highlight w:val="yellow"/>
        </w:rPr>
        <w:t xml:space="preserve">. Puudused tuvastati 41 asutuses ehk </w:t>
      </w:r>
      <w:r w:rsidR="00AA058A" w:rsidRPr="0082499D">
        <w:rPr>
          <w:highlight w:val="yellow"/>
        </w:rPr>
        <w:t>tuleohutusnõuded olid täidetud</w:t>
      </w:r>
      <w:r w:rsidR="009C267A" w:rsidRPr="0082499D">
        <w:rPr>
          <w:highlight w:val="yellow"/>
        </w:rPr>
        <w:t xml:space="preserve"> vaid 24% (13 asutust). </w:t>
      </w:r>
      <w:r w:rsidR="00E160F3" w:rsidRPr="0082499D">
        <w:rPr>
          <w:highlight w:val="yellow"/>
        </w:rPr>
        <w:t>Inspektorid hindasid</w:t>
      </w:r>
      <w:r w:rsidR="009C267A" w:rsidRPr="0082499D">
        <w:rPr>
          <w:highlight w:val="yellow"/>
        </w:rPr>
        <w:t xml:space="preserve"> selle käigus ühe aspektina</w:t>
      </w:r>
      <w:r w:rsidR="00E160F3" w:rsidRPr="0082499D">
        <w:rPr>
          <w:highlight w:val="yellow"/>
        </w:rPr>
        <w:t>, kas hoiukohtades</w:t>
      </w:r>
      <w:r w:rsidR="009C267A" w:rsidRPr="0082499D">
        <w:rPr>
          <w:highlight w:val="yellow"/>
        </w:rPr>
        <w:t xml:space="preserve"> on</w:t>
      </w:r>
      <w:r w:rsidR="00E160F3" w:rsidRPr="0082499D">
        <w:rPr>
          <w:highlight w:val="yellow"/>
        </w:rPr>
        <w:t xml:space="preserve"> ohtlikud ained ladustatud ainete ühtesobivusele</w:t>
      </w:r>
      <w:r w:rsidR="00AA058A" w:rsidRPr="0082499D">
        <w:rPr>
          <w:highlight w:val="yellow"/>
        </w:rPr>
        <w:t>,</w:t>
      </w:r>
      <w:r w:rsidR="002904B9" w:rsidRPr="0082499D">
        <w:rPr>
          <w:highlight w:val="yellow"/>
        </w:rPr>
        <w:t xml:space="preserve"> </w:t>
      </w:r>
      <w:r w:rsidR="00E160F3" w:rsidRPr="0082499D">
        <w:rPr>
          <w:highlight w:val="yellow"/>
        </w:rPr>
        <w:t xml:space="preserve">omavahel reageerivad kemikaalid on eraldatud, sh hapnikuballoon ei puutu kokku rasva, õli või muu </w:t>
      </w:r>
      <w:r w:rsidR="002904B9" w:rsidRPr="0082499D">
        <w:rPr>
          <w:highlight w:val="yellow"/>
        </w:rPr>
        <w:t xml:space="preserve">tuleohtliku </w:t>
      </w:r>
      <w:r w:rsidR="00E160F3" w:rsidRPr="0082499D">
        <w:rPr>
          <w:highlight w:val="yellow"/>
        </w:rPr>
        <w:t xml:space="preserve">vedelikuga ning ühes ruumis/sektsioonis ei ladustada põlevgaasi koos hapnikuga. 28 asutuses tuvastati erinevaid puudusi, mis on seotud ainete hoiustamisega. </w:t>
      </w:r>
      <w:r w:rsidR="009C267A" w:rsidRPr="0082499D">
        <w:rPr>
          <w:highlight w:val="yellow"/>
        </w:rPr>
        <w:t>Nii tuvastati r</w:t>
      </w:r>
      <w:r w:rsidR="00E160F3" w:rsidRPr="0082499D">
        <w:rPr>
          <w:highlight w:val="yellow"/>
        </w:rPr>
        <w:t xml:space="preserve">eidi raames </w:t>
      </w:r>
      <w:r w:rsidR="009C267A" w:rsidRPr="0082499D">
        <w:rPr>
          <w:highlight w:val="yellow"/>
        </w:rPr>
        <w:t>näiteks</w:t>
      </w:r>
      <w:r w:rsidR="00E160F3" w:rsidRPr="0082499D">
        <w:rPr>
          <w:highlight w:val="yellow"/>
        </w:rPr>
        <w:t xml:space="preserve">, et </w:t>
      </w:r>
      <w:r w:rsidR="00AA058A" w:rsidRPr="0082499D">
        <w:rPr>
          <w:highlight w:val="yellow"/>
        </w:rPr>
        <w:t xml:space="preserve">basseiniga </w:t>
      </w:r>
      <w:r w:rsidR="00E160F3" w:rsidRPr="0082499D">
        <w:rPr>
          <w:highlight w:val="yellow"/>
        </w:rPr>
        <w:t>asutustes</w:t>
      </w:r>
      <w:r w:rsidR="002904B9" w:rsidRPr="0082499D">
        <w:rPr>
          <w:highlight w:val="yellow"/>
        </w:rPr>
        <w:t xml:space="preserve"> </w:t>
      </w:r>
      <w:r w:rsidR="00E160F3" w:rsidRPr="0082499D">
        <w:rPr>
          <w:highlight w:val="yellow"/>
        </w:rPr>
        <w:t xml:space="preserve">hoiustatakse ühes ruumis </w:t>
      </w:r>
      <w:proofErr w:type="spellStart"/>
      <w:r w:rsidR="00E160F3" w:rsidRPr="0082499D">
        <w:rPr>
          <w:highlight w:val="yellow"/>
        </w:rPr>
        <w:t>naatriumhüpokloritit</w:t>
      </w:r>
      <w:proofErr w:type="spellEnd"/>
      <w:r w:rsidR="00E160F3" w:rsidRPr="0082499D">
        <w:rPr>
          <w:highlight w:val="yellow"/>
        </w:rPr>
        <w:t xml:space="preserve"> (või </w:t>
      </w:r>
      <w:proofErr w:type="spellStart"/>
      <w:r w:rsidR="00E160F3" w:rsidRPr="0082499D">
        <w:rPr>
          <w:highlight w:val="yellow"/>
        </w:rPr>
        <w:t>kaltsiumhüpokloriti</w:t>
      </w:r>
      <w:proofErr w:type="spellEnd"/>
      <w:r w:rsidR="00E160F3" w:rsidRPr="0082499D">
        <w:rPr>
          <w:highlight w:val="yellow"/>
        </w:rPr>
        <w:t xml:space="preserve">) ja väävelhapet. Samas ei ole kanistrid või muud anumad eraldatud teineteisest alusvannidega. </w:t>
      </w:r>
      <w:proofErr w:type="spellStart"/>
      <w:r w:rsidR="00E160F3" w:rsidRPr="0082499D">
        <w:rPr>
          <w:highlight w:val="yellow"/>
        </w:rPr>
        <w:t>Naatriumhüpokloriti</w:t>
      </w:r>
      <w:proofErr w:type="spellEnd"/>
      <w:r w:rsidR="00E160F3" w:rsidRPr="0082499D">
        <w:rPr>
          <w:highlight w:val="yellow"/>
        </w:rPr>
        <w:t xml:space="preserve"> (või </w:t>
      </w:r>
      <w:proofErr w:type="spellStart"/>
      <w:r w:rsidR="00E160F3" w:rsidRPr="0082499D">
        <w:rPr>
          <w:highlight w:val="yellow"/>
        </w:rPr>
        <w:t>kaltsiumhüpokloriti</w:t>
      </w:r>
      <w:proofErr w:type="spellEnd"/>
      <w:r w:rsidR="00E160F3" w:rsidRPr="0082499D">
        <w:rPr>
          <w:highlight w:val="yellow"/>
        </w:rPr>
        <w:t>) ja väävelhappe segunemisel eraldub väga mürgine gaasiline kloor. Seega on väga oluline, et neid aineid hoiustatakse sellisel</w:t>
      </w:r>
      <w:r w:rsidR="009C267A" w:rsidRPr="0082499D">
        <w:rPr>
          <w:highlight w:val="yellow"/>
        </w:rPr>
        <w:t>t</w:t>
      </w:r>
      <w:r w:rsidR="00E160F3" w:rsidRPr="0082499D">
        <w:rPr>
          <w:highlight w:val="yellow"/>
        </w:rPr>
        <w:t xml:space="preserve">, et need eraldatakse teineteisest või paiknevad nii, et oleks välistatud ohtlike ainete kokkupuutumine nende käitlemise käigus või õnnetuse, sealhulgas taara lekkimise, korral. Tuli ka ette olukordi, kus väävelhapet hoiustati puidust alustel või väävelhape paigutati ventilatsiooniruumi, et hoida eraldi </w:t>
      </w:r>
      <w:proofErr w:type="spellStart"/>
      <w:r w:rsidR="00E160F3" w:rsidRPr="0082499D">
        <w:rPr>
          <w:highlight w:val="yellow"/>
        </w:rPr>
        <w:t>naatriumhüpokl</w:t>
      </w:r>
      <w:r w:rsidR="00AA058A" w:rsidRPr="0082499D">
        <w:rPr>
          <w:highlight w:val="yellow"/>
        </w:rPr>
        <w:t>o</w:t>
      </w:r>
      <w:r w:rsidR="00E160F3" w:rsidRPr="0082499D">
        <w:rPr>
          <w:highlight w:val="yellow"/>
        </w:rPr>
        <w:t>ritist</w:t>
      </w:r>
      <w:proofErr w:type="spellEnd"/>
      <w:r w:rsidR="00E160F3" w:rsidRPr="0082499D">
        <w:rPr>
          <w:highlight w:val="yellow"/>
        </w:rPr>
        <w:t xml:space="preserve">. Samuti ka muude kemikaalide korral puudusid väga tihti alusvannid, olid liiga madalad või ebasobilikud ehk lekke korral voolaks kogu kemikaal põrandale ning sellega seoses pole välistatud ka erinevate ainete omavaheline sobimatu segunemine. Alusvanni ebasobivuse korral võib lekkinud kemikaal hakata reageerima alusvanni materjaliga ning põhjustada sellega täiendavat ohtu. </w:t>
      </w:r>
    </w:p>
    <w:p w14:paraId="539B14EA" w14:textId="77777777" w:rsidR="00E160F3" w:rsidRPr="0082499D" w:rsidRDefault="00E160F3" w:rsidP="00E160F3">
      <w:pPr>
        <w:pStyle w:val="NoSpacing"/>
        <w:keepNext/>
        <w:jc w:val="both"/>
        <w:rPr>
          <w:highlight w:val="yellow"/>
        </w:rPr>
      </w:pPr>
      <w:r w:rsidRPr="0082499D">
        <w:rPr>
          <w:highlight w:val="yellow"/>
        </w:rPr>
        <w:t xml:space="preserve"> </w:t>
      </w:r>
    </w:p>
    <w:p w14:paraId="57879F94" w14:textId="4EFFDE10" w:rsidR="009C267A" w:rsidRPr="0082499D" w:rsidRDefault="00E160F3" w:rsidP="00E160F3">
      <w:pPr>
        <w:pStyle w:val="NoSpacing"/>
        <w:keepNext/>
        <w:jc w:val="both"/>
        <w:rPr>
          <w:highlight w:val="yellow"/>
        </w:rPr>
      </w:pPr>
      <w:r w:rsidRPr="0082499D">
        <w:rPr>
          <w:highlight w:val="yellow"/>
        </w:rPr>
        <w:t>Ühel juhul tuvastati, et põlevgaasi ja hapnik</w:t>
      </w:r>
      <w:r w:rsidR="009C267A" w:rsidRPr="0082499D">
        <w:rPr>
          <w:highlight w:val="yellow"/>
        </w:rPr>
        <w:t>k</w:t>
      </w:r>
      <w:r w:rsidRPr="0082499D">
        <w:rPr>
          <w:highlight w:val="yellow"/>
        </w:rPr>
        <w:t>u hoitakse ruumis ühes osas koos, kuigi ehitises ei tohi ladusta</w:t>
      </w:r>
      <w:r w:rsidR="009C267A" w:rsidRPr="0082499D">
        <w:rPr>
          <w:highlight w:val="yellow"/>
        </w:rPr>
        <w:t>d</w:t>
      </w:r>
      <w:r w:rsidRPr="0082499D">
        <w:rPr>
          <w:highlight w:val="yellow"/>
        </w:rPr>
        <w:t xml:space="preserve">a ühes ruumis või lao sektsioonis põlevgaasi koos hapnikuga. Tuli ette ka rikkumisi, kus kemikaali hoiuruumis hoiti ka muid asju, sh koos põlevmaterjaliga või kemikaale hoiustati koos teiste esemetega varjatult ning tankla vallitusalas kasvasid puud. Inspektorid tõid veel välja ka seda, et tihti ei olnud </w:t>
      </w:r>
      <w:r w:rsidR="009C267A" w:rsidRPr="0082499D">
        <w:rPr>
          <w:highlight w:val="yellow"/>
        </w:rPr>
        <w:t xml:space="preserve">hoiuruumid </w:t>
      </w:r>
      <w:r w:rsidRPr="0082499D">
        <w:rPr>
          <w:highlight w:val="yellow"/>
        </w:rPr>
        <w:t>sobilikud kemikaali hoiustamise jaoks: liiga niisked või soojad/külmad, ei ole hästi ventileeritavad. Samuti ei olnud hoi</w:t>
      </w:r>
      <w:r w:rsidR="009C267A" w:rsidRPr="0082499D">
        <w:rPr>
          <w:highlight w:val="yellow"/>
        </w:rPr>
        <w:t>u</w:t>
      </w:r>
      <w:r w:rsidRPr="0082499D">
        <w:rPr>
          <w:highlight w:val="yellow"/>
        </w:rPr>
        <w:t>ruumides ega ka dosaatoriruumides (basseinid) kasutusel termomeetreid temperatuuri jälgimiseks. Tihtipeale oli ka läbimõtlemata ventilatsioonisüsteemid.</w:t>
      </w:r>
    </w:p>
    <w:p w14:paraId="7E51DEA6" w14:textId="2C2BB16C" w:rsidR="009C267A" w:rsidRPr="00B701C8" w:rsidRDefault="009C267A" w:rsidP="00E160F3">
      <w:pPr>
        <w:pStyle w:val="NoSpacing"/>
        <w:keepNext/>
        <w:jc w:val="both"/>
      </w:pPr>
      <w:r w:rsidRPr="0082499D">
        <w:rPr>
          <w:highlight w:val="yellow"/>
        </w:rPr>
        <w:t xml:space="preserve">Ainuüksi selle reidi tulemuste põhjal saab järeldada, et meil siiski </w:t>
      </w:r>
      <w:r w:rsidR="002904B9" w:rsidRPr="0082499D">
        <w:rPr>
          <w:highlight w:val="yellow"/>
        </w:rPr>
        <w:t xml:space="preserve">on </w:t>
      </w:r>
      <w:r w:rsidRPr="0082499D">
        <w:rPr>
          <w:highlight w:val="yellow"/>
        </w:rPr>
        <w:t>vaja ühtseid nõudeid, kuidas ohtlikke aineid ladustada. See on ka üks põhjus, miks määruse eelnõule lisati uus lisa (lisa 3), kus määratakse ära ohtlike ainete ühtesobivusnõuded</w:t>
      </w:r>
      <w:r w:rsidR="002904B9" w:rsidRPr="0082499D">
        <w:rPr>
          <w:highlight w:val="yellow"/>
        </w:rPr>
        <w:t xml:space="preserve"> ja täiendati oluliselt ohtlike ainete ladustamise tuleohutusnõudeid</w:t>
      </w:r>
      <w:r w:rsidRPr="0082499D">
        <w:rPr>
          <w:highlight w:val="yellow"/>
        </w:rPr>
        <w:t>.</w:t>
      </w:r>
    </w:p>
    <w:p w14:paraId="517441E5" w14:textId="77777777" w:rsidR="000D0219" w:rsidRPr="00B701C8" w:rsidRDefault="000D0219" w:rsidP="000D0219">
      <w:pPr>
        <w:pStyle w:val="NoSpacing"/>
        <w:keepNext/>
        <w:jc w:val="both"/>
      </w:pPr>
    </w:p>
    <w:p w14:paraId="5295DA76" w14:textId="42EC084E" w:rsidR="00755488" w:rsidRDefault="000D0219" w:rsidP="00755488">
      <w:pPr>
        <w:pStyle w:val="NoSpacing"/>
        <w:jc w:val="both"/>
      </w:pPr>
      <w:r w:rsidRPr="00240B71">
        <w:rPr>
          <w:b/>
          <w:bCs/>
          <w:color w:val="0070C0"/>
        </w:rPr>
        <w:t>Lõike 1</w:t>
      </w:r>
      <w:r w:rsidRPr="00240B71">
        <w:rPr>
          <w:color w:val="0070C0"/>
        </w:rPr>
        <w:t xml:space="preserve"> </w:t>
      </w:r>
      <w:r w:rsidRPr="00B701C8">
        <w:t xml:space="preserve">kohaselt </w:t>
      </w:r>
      <w:r>
        <w:t xml:space="preserve">ladustatakse ohtlikku ainet eelnõu lisa 3 </w:t>
      </w:r>
      <w:r>
        <w:rPr>
          <w:rFonts w:eastAsia="Times New Roman"/>
          <w:color w:val="202020"/>
          <w:lang w:eastAsia="et-EE"/>
        </w:rPr>
        <w:t>„</w:t>
      </w:r>
      <w:r w:rsidRPr="001F195D">
        <w:rPr>
          <w:rFonts w:eastAsia="Times New Roman"/>
          <w:color w:val="202020"/>
          <w:lang w:eastAsia="et-EE"/>
        </w:rPr>
        <w:t>Ohtlike ainete üh</w:t>
      </w:r>
      <w:r>
        <w:rPr>
          <w:rFonts w:eastAsia="Times New Roman"/>
          <w:color w:val="202020"/>
          <w:lang w:eastAsia="et-EE"/>
        </w:rPr>
        <w:t>t</w:t>
      </w:r>
      <w:r w:rsidRPr="001F195D">
        <w:rPr>
          <w:rFonts w:eastAsia="Times New Roman"/>
          <w:color w:val="202020"/>
          <w:lang w:eastAsia="et-EE"/>
        </w:rPr>
        <w:t>esobivus</w:t>
      </w:r>
      <w:r>
        <w:rPr>
          <w:rFonts w:eastAsia="Times New Roman"/>
          <w:color w:val="202020"/>
          <w:lang w:eastAsia="et-EE"/>
        </w:rPr>
        <w:t>“ kohaselt</w:t>
      </w:r>
      <w:r>
        <w:t xml:space="preserve">. </w:t>
      </w:r>
      <w:r w:rsidR="00755488" w:rsidRPr="00755488">
        <w:rPr>
          <w:highlight w:val="yellow"/>
        </w:rPr>
        <w:t>Kehtiva määruse vastava lisaga võrreldes on eelnõusse toodud sisse mürgiste gaaside ladustamise nõuded ning o</w:t>
      </w:r>
      <w:r w:rsidR="00755488" w:rsidRPr="00755488">
        <w:rPr>
          <w:highlight w:val="yellow"/>
        </w:rPr>
        <w:t xml:space="preserve">n täpsustatud osade aineklasside </w:t>
      </w:r>
      <w:r w:rsidR="00755488" w:rsidRPr="00755488">
        <w:rPr>
          <w:highlight w:val="yellow"/>
        </w:rPr>
        <w:t>ühtesobivust (näiteks eraldamise</w:t>
      </w:r>
      <w:r w:rsidR="00AA058A">
        <w:rPr>
          <w:highlight w:val="yellow"/>
        </w:rPr>
        <w:t xml:space="preserve"> vajaduse puudumise</w:t>
      </w:r>
      <w:r w:rsidR="00755488" w:rsidRPr="00755488">
        <w:rPr>
          <w:highlight w:val="yellow"/>
        </w:rPr>
        <w:t xml:space="preserve"> korral on täpsustatud ainete ladustamise eesmärki või varasemalt eraldamist nõudnud aineid on eelnõuga lubatud hoida koos). V</w:t>
      </w:r>
      <w:r w:rsidR="00755488" w:rsidRPr="00755488">
        <w:rPr>
          <w:highlight w:val="yellow"/>
        </w:rPr>
        <w:t xml:space="preserve">älja on jäetud ohtlikud ained, mis kuuluvad ohtliku aine klassi 1 (lõhkeained ja neid sisaldavad esemed), 6.2 (nakkusohtlikud ained) või 7 (radioaktiivsed materjalid), kuna neid ei tohi hoida koos ühegi teise ohtliku aine klassi ainega. Samuti on välja jäetud välja ohtliku aine klassi 9 (muud ohtlikud ained ja esemed) ained, näiteks asbest, ning keskkonnale ohtlikud ained, liitiumakud ja ained, mida kasutatakse näiteks turvapatjade täispuhumiseks. Nende puhul tuleb eraldi hinnata ohtliku aine omadusi ja </w:t>
      </w:r>
      <w:r w:rsidR="00755488" w:rsidRPr="00755488">
        <w:rPr>
          <w:highlight w:val="yellow"/>
        </w:rPr>
        <w:lastRenderedPageBreak/>
        <w:t xml:space="preserve">ühtesobivust teist klassi ainetega. Uue tabeliga on vähendatud ohtu, mis võib tekkida samas ruumis olevate ainete juhuslikul </w:t>
      </w:r>
      <w:r w:rsidR="00755488" w:rsidRPr="00084266">
        <w:rPr>
          <w:highlight w:val="yellow"/>
        </w:rPr>
        <w:t>segunemisel</w:t>
      </w:r>
      <w:r w:rsidR="0031347D" w:rsidRPr="00084266">
        <w:rPr>
          <w:highlight w:val="yellow"/>
        </w:rPr>
        <w:t xml:space="preserve">, tulekahjusse sattumisel </w:t>
      </w:r>
      <w:r w:rsidR="00755488" w:rsidRPr="00084266">
        <w:rPr>
          <w:highlight w:val="yellow"/>
        </w:rPr>
        <w:t xml:space="preserve">või </w:t>
      </w:r>
      <w:r w:rsidR="00755488" w:rsidRPr="00755488">
        <w:rPr>
          <w:highlight w:val="yellow"/>
        </w:rPr>
        <w:t>näiteks kustutustööde käigus veega reageerimisel. Tabeli numeratsiooni aluseks on ohtlike veoste rahvusvahelise autoveo Euroopa kokkulepe</w:t>
      </w:r>
      <w:r w:rsidR="00907DD4">
        <w:rPr>
          <w:rStyle w:val="FootnoteReference"/>
          <w:highlight w:val="yellow"/>
        </w:rPr>
        <w:footnoteReference w:id="11"/>
      </w:r>
      <w:r w:rsidR="00755488" w:rsidRPr="00755488">
        <w:rPr>
          <w:highlight w:val="yellow"/>
        </w:rPr>
        <w:t xml:space="preserve">, mis sisuliselt järgib kehtiva tabeli mõtet. Selline süsteem on ülemaailmselt tunnustatud, seda on suhteliselt lihtne kasutada </w:t>
      </w:r>
      <w:r w:rsidR="00755488" w:rsidRPr="00755488">
        <w:rPr>
          <w:highlight w:val="yellow"/>
        </w:rPr>
        <w:t>ja</w:t>
      </w:r>
      <w:r w:rsidR="005D011B">
        <w:rPr>
          <w:highlight w:val="yellow"/>
        </w:rPr>
        <w:t xml:space="preserve"> valdkonnas tegutsevad</w:t>
      </w:r>
      <w:r w:rsidR="00755488" w:rsidRPr="00755488">
        <w:rPr>
          <w:highlight w:val="yellow"/>
        </w:rPr>
        <w:t xml:space="preserve"> ettevõtjad saavad sellest hästi aru. Eelnõu koostajad on täpsemalt juhindunud Ühendkuningriigis välja töötatud ohtlike ainete ladustamise nõuetest</w:t>
      </w:r>
      <w:r w:rsidR="008B5463">
        <w:rPr>
          <w:rStyle w:val="FootnoteReference"/>
          <w:highlight w:val="yellow"/>
        </w:rPr>
        <w:footnoteReference w:id="12"/>
      </w:r>
      <w:r w:rsidR="00084266" w:rsidRPr="00194E77">
        <w:rPr>
          <w:rStyle w:val="Hyperlink"/>
          <w:u w:val="none"/>
        </w:rPr>
        <w:t>.</w:t>
      </w:r>
    </w:p>
    <w:p w14:paraId="36F2EFD1" w14:textId="77777777" w:rsidR="00194E77" w:rsidRDefault="00194E77" w:rsidP="00755488">
      <w:pPr>
        <w:pStyle w:val="NoSpacing"/>
        <w:jc w:val="both"/>
        <w:rPr>
          <w:highlight w:val="yellow"/>
        </w:rPr>
      </w:pPr>
    </w:p>
    <w:p w14:paraId="6A1F006D" w14:textId="2C3B8811" w:rsidR="009362FE" w:rsidRDefault="009362FE" w:rsidP="00755488">
      <w:pPr>
        <w:pStyle w:val="NoSpacing"/>
        <w:jc w:val="both"/>
      </w:pPr>
      <w:r w:rsidRPr="009362FE">
        <w:rPr>
          <w:highlight w:val="yellow"/>
        </w:rPr>
        <w:t xml:space="preserve">Kehtiva </w:t>
      </w:r>
      <w:r w:rsidR="00084266">
        <w:rPr>
          <w:highlight w:val="yellow"/>
        </w:rPr>
        <w:t xml:space="preserve">määruse lisas 2 oleva </w:t>
      </w:r>
      <w:r w:rsidRPr="009362FE">
        <w:rPr>
          <w:highlight w:val="yellow"/>
        </w:rPr>
        <w:t xml:space="preserve">tabeliga võrreldes on </w:t>
      </w:r>
      <w:r w:rsidR="00084266">
        <w:rPr>
          <w:highlight w:val="yellow"/>
        </w:rPr>
        <w:t xml:space="preserve">eelnõus </w:t>
      </w:r>
      <w:r w:rsidR="006B1F57">
        <w:rPr>
          <w:highlight w:val="yellow"/>
        </w:rPr>
        <w:t xml:space="preserve">tegevustele </w:t>
      </w:r>
      <w:r w:rsidRPr="009362FE">
        <w:rPr>
          <w:highlight w:val="yellow"/>
        </w:rPr>
        <w:t>„ei ole vaja eraldada“ ja „on vaja eraldada“, lisatud „eraldi hoidmine“ ja „isoleerimine“ ning nendel</w:t>
      </w:r>
      <w:r>
        <w:rPr>
          <w:highlight w:val="yellow"/>
        </w:rPr>
        <w:t>e</w:t>
      </w:r>
      <w:r w:rsidRPr="009362FE">
        <w:rPr>
          <w:highlight w:val="yellow"/>
        </w:rPr>
        <w:t xml:space="preserve"> tegevustele on antud ka sisu (vt edaspidi). Selline käsitlus annab laiemad võimalused ohtlike ainete ladustamiseks</w:t>
      </w:r>
      <w:r>
        <w:rPr>
          <w:highlight w:val="yellow"/>
        </w:rPr>
        <w:t xml:space="preserve">, kuid sisuliselt ei ole tegemist uute </w:t>
      </w:r>
      <w:r w:rsidRPr="009362FE">
        <w:rPr>
          <w:highlight w:val="yellow"/>
        </w:rPr>
        <w:t xml:space="preserve">tegevustega. </w:t>
      </w:r>
      <w:r w:rsidR="0031347D" w:rsidRPr="00084266">
        <w:rPr>
          <w:highlight w:val="yellow"/>
        </w:rPr>
        <w:t xml:space="preserve">Kehtivas määruses on mõiste "eraldamine", kuid selgelt ei tule välja, mida selle all mõeldakse. </w:t>
      </w:r>
      <w:r w:rsidR="001D5F4D">
        <w:rPr>
          <w:highlight w:val="yellow"/>
        </w:rPr>
        <w:t>Näiteks kehtiva sõnastuse kohaselt tuleb e</w:t>
      </w:r>
      <w:r w:rsidR="0031347D" w:rsidRPr="00084266">
        <w:rPr>
          <w:highlight w:val="yellow"/>
        </w:rPr>
        <w:t xml:space="preserve">raldi ruumides kindlasti hoida hapnikku ja põlevgaasi, </w:t>
      </w:r>
      <w:r w:rsidR="001D5F4D">
        <w:rPr>
          <w:highlight w:val="yellow"/>
        </w:rPr>
        <w:t xml:space="preserve">kuid arvestades teisi </w:t>
      </w:r>
      <w:r w:rsidR="0031347D" w:rsidRPr="00084266">
        <w:rPr>
          <w:highlight w:val="yellow"/>
        </w:rPr>
        <w:t xml:space="preserve">aineklasse </w:t>
      </w:r>
      <w:r w:rsidR="001D5F4D">
        <w:rPr>
          <w:highlight w:val="yellow"/>
        </w:rPr>
        <w:t>tuleks eraldamist nõuda ka muudel juhtudel</w:t>
      </w:r>
      <w:r w:rsidR="0031347D" w:rsidRPr="00084266">
        <w:rPr>
          <w:highlight w:val="yellow"/>
        </w:rPr>
        <w:t xml:space="preserve">. Seega </w:t>
      </w:r>
      <w:r w:rsidR="00084266" w:rsidRPr="00084266">
        <w:rPr>
          <w:highlight w:val="yellow"/>
        </w:rPr>
        <w:t>kehtivas</w:t>
      </w:r>
      <w:r w:rsidR="0031347D" w:rsidRPr="00084266">
        <w:rPr>
          <w:color w:val="FF0000"/>
          <w:highlight w:val="yellow"/>
        </w:rPr>
        <w:t xml:space="preserve"> </w:t>
      </w:r>
      <w:r w:rsidR="0031347D" w:rsidRPr="00084266">
        <w:rPr>
          <w:highlight w:val="yellow"/>
        </w:rPr>
        <w:t>määruses ei arvestata kõiki aineklasse</w:t>
      </w:r>
      <w:r w:rsidR="00084266" w:rsidRPr="00084266">
        <w:rPr>
          <w:highlight w:val="yellow"/>
        </w:rPr>
        <w:t xml:space="preserve"> ning ainetest lähtuvaid ohte, mida eelnõuga soovitatakse</w:t>
      </w:r>
      <w:r w:rsidR="001D5F4D">
        <w:rPr>
          <w:highlight w:val="yellow"/>
        </w:rPr>
        <w:t>gi</w:t>
      </w:r>
      <w:r w:rsidR="00084266" w:rsidRPr="00084266">
        <w:rPr>
          <w:highlight w:val="yellow"/>
        </w:rPr>
        <w:t xml:space="preserve"> parendada</w:t>
      </w:r>
      <w:r w:rsidR="0031347D" w:rsidRPr="00084266">
        <w:rPr>
          <w:highlight w:val="yellow"/>
        </w:rPr>
        <w:t>.</w:t>
      </w:r>
      <w:r w:rsidR="0031347D" w:rsidRPr="0031347D">
        <w:t xml:space="preserve"> </w:t>
      </w:r>
    </w:p>
    <w:p w14:paraId="59EAB203" w14:textId="77777777" w:rsidR="00755488" w:rsidRDefault="00755488" w:rsidP="00755488">
      <w:pPr>
        <w:pStyle w:val="NoSpacing"/>
        <w:jc w:val="both"/>
      </w:pPr>
    </w:p>
    <w:p w14:paraId="1CFBD5E8" w14:textId="02DFB4FE" w:rsidR="00E160F3" w:rsidRDefault="00E160F3" w:rsidP="00755488">
      <w:pPr>
        <w:pStyle w:val="NoSpacing"/>
        <w:jc w:val="both"/>
      </w:pPr>
      <w:r w:rsidRPr="0082499D">
        <w:rPr>
          <w:highlight w:val="yellow"/>
        </w:rPr>
        <w:t>Samas on lisatud säte, et ohutuse tagamist on võimalik tõendada ka muul alusel, selleks loetakse kas muid rahvusvahelisi nõudeid (sage</w:t>
      </w:r>
      <w:r w:rsidR="00907DD4" w:rsidRPr="0082499D">
        <w:rPr>
          <w:highlight w:val="yellow"/>
        </w:rPr>
        <w:t>dasti kasutusel</w:t>
      </w:r>
      <w:r w:rsidRPr="0082499D">
        <w:rPr>
          <w:highlight w:val="yellow"/>
        </w:rPr>
        <w:t xml:space="preserve"> just rahvusvaheliste ettevõtete Eesti esindustes) või ohutuskaartidel olevat teavet (kui see on piisav ohutuse tagamiseks).</w:t>
      </w:r>
      <w:r w:rsidR="009C267A" w:rsidRPr="0082499D">
        <w:rPr>
          <w:highlight w:val="yellow"/>
        </w:rPr>
        <w:t xml:space="preserve"> Seega ei näe määruse koostajad ette pelgalt määruses sätestatud nõuete täitmist, vaid ohutuse tagamiseks on lubatud järgida ka muid dokumente. Oluline on, et ohtlike ainete ladustamisel oleks tagatud ohutus inimese elule ja tervisele ning ümbritsevale keskkonnale.</w:t>
      </w:r>
    </w:p>
    <w:p w14:paraId="35EEFEE9" w14:textId="77777777" w:rsidR="00E160F3" w:rsidRDefault="00E160F3" w:rsidP="00755488">
      <w:pPr>
        <w:pStyle w:val="NoSpacing"/>
        <w:jc w:val="both"/>
      </w:pPr>
    </w:p>
    <w:p w14:paraId="5486379E" w14:textId="77777777" w:rsidR="000D0219" w:rsidRDefault="000D0219" w:rsidP="000D0219">
      <w:pPr>
        <w:pStyle w:val="NoSpacing"/>
        <w:jc w:val="both"/>
      </w:pPr>
      <w:r w:rsidRPr="00240B71">
        <w:rPr>
          <w:b/>
          <w:bCs/>
          <w:color w:val="0070C0"/>
        </w:rPr>
        <w:t>Lõike 2</w:t>
      </w:r>
      <w:r w:rsidRPr="005E26BB">
        <w:t xml:space="preserve"> kohaselt </w:t>
      </w:r>
      <w:r>
        <w:t xml:space="preserve">tuleb ohtlikud ained eraldada, hoida eraldi või isoleerida, kui see on vajalik. Millise aine puhul millist meetodit kasutada, nähtub eelnõu lisast 3 </w:t>
      </w:r>
      <w:r w:rsidRPr="00BA3974">
        <w:t>„Ohtlike ainete ühte</w:t>
      </w:r>
      <w:r>
        <w:softHyphen/>
      </w:r>
      <w:r w:rsidRPr="00BA3974">
        <w:t>sobivus“</w:t>
      </w:r>
      <w:r>
        <w:t>.</w:t>
      </w:r>
    </w:p>
    <w:p w14:paraId="3C10805D" w14:textId="77777777" w:rsidR="000D0219" w:rsidRDefault="000D0219" w:rsidP="000D0219">
      <w:pPr>
        <w:pStyle w:val="NoSpacing"/>
        <w:jc w:val="both"/>
      </w:pPr>
    </w:p>
    <w:p w14:paraId="60195310" w14:textId="77777777" w:rsidR="000D0219" w:rsidRDefault="000D0219" w:rsidP="000D0219">
      <w:pPr>
        <w:pStyle w:val="NoSpacing"/>
        <w:numPr>
          <w:ilvl w:val="0"/>
          <w:numId w:val="14"/>
        </w:numPr>
        <w:jc w:val="both"/>
      </w:pPr>
      <w:r>
        <w:t xml:space="preserve">Ohtlike ainete </w:t>
      </w:r>
      <w:r w:rsidRPr="005E26BB">
        <w:rPr>
          <w:b/>
          <w:bCs/>
        </w:rPr>
        <w:t>eraldamine</w:t>
      </w:r>
      <w:r>
        <w:t xml:space="preserve"> tähendab, et neid ladustatakse eraldi ruumides. Sellisel juhul peab ühtlasi tagama määruse nr 17 kohaste tuletõkkesektsioonide olemasolu. T</w:t>
      </w:r>
      <w:r w:rsidRPr="00E17D3B">
        <w:t>eatud juhtudel pea</w:t>
      </w:r>
      <w:r>
        <w:t>b</w:t>
      </w:r>
      <w:r w:rsidRPr="00E17D3B">
        <w:t xml:space="preserve"> ruum moodustama eraldi tuletõkkesektsiooni</w:t>
      </w:r>
      <w:r>
        <w:t>,</w:t>
      </w:r>
      <w:r w:rsidRPr="00E17D3B">
        <w:t xml:space="preserve"> n</w:t>
      </w:r>
      <w:r>
        <w:t>äiteks</w:t>
      </w:r>
      <w:r w:rsidRPr="00E17D3B">
        <w:t xml:space="preserve"> laoruum</w:t>
      </w:r>
      <w:r>
        <w:t>, mille</w:t>
      </w:r>
      <w:r w:rsidRPr="00E17D3B">
        <w:t xml:space="preserve"> </w:t>
      </w:r>
      <w:proofErr w:type="spellStart"/>
      <w:r w:rsidRPr="00E17D3B">
        <w:t>eri</w:t>
      </w:r>
      <w:r>
        <w:softHyphen/>
      </w:r>
      <w:r w:rsidRPr="00E17D3B">
        <w:t>põlemiskoormus</w:t>
      </w:r>
      <w:proofErr w:type="spellEnd"/>
      <w:r>
        <w:t xml:space="preserve"> on</w:t>
      </w:r>
      <w:r w:rsidRPr="00E17D3B">
        <w:t xml:space="preserve"> </w:t>
      </w:r>
      <w:r>
        <w:t>üle</w:t>
      </w:r>
      <w:r w:rsidRPr="00E17D3B">
        <w:t xml:space="preserve"> 600 megadžauli ruutmeetri kohta</w:t>
      </w:r>
      <w:r>
        <w:t xml:space="preserve"> ja</w:t>
      </w:r>
      <w:r w:rsidRPr="00E17D3B">
        <w:t xml:space="preserve"> pindala </w:t>
      </w:r>
      <w:r>
        <w:t>vähemalt</w:t>
      </w:r>
      <w:r w:rsidRPr="00E17D3B">
        <w:t xml:space="preserve"> 10 ruut</w:t>
      </w:r>
      <w:r>
        <w:softHyphen/>
      </w:r>
      <w:r w:rsidRPr="00E17D3B">
        <w:t xml:space="preserve">meetrit. </w:t>
      </w:r>
      <w:r>
        <w:t>Eraldamiseks v</w:t>
      </w:r>
      <w:r w:rsidRPr="00E17D3B">
        <w:t>õib kasutada telliskivi-</w:t>
      </w:r>
      <w:r>
        <w:t xml:space="preserve"> või</w:t>
      </w:r>
      <w:r w:rsidRPr="00E17D3B">
        <w:t xml:space="preserve"> betoonkonstruktsiooni või muud lahendust, mis peab vastu tulekahju ja p</w:t>
      </w:r>
      <w:r>
        <w:t>lahvatuse korral. Alternatiiv</w:t>
      </w:r>
      <w:r w:rsidRPr="00E17D3B">
        <w:t xml:space="preserve"> on ladustada ohtlik</w:t>
      </w:r>
      <w:r>
        <w:t>ke</w:t>
      </w:r>
      <w:r w:rsidRPr="00E17D3B">
        <w:t xml:space="preserve"> </w:t>
      </w:r>
      <w:r>
        <w:t>aineid</w:t>
      </w:r>
      <w:r w:rsidRPr="00E17D3B">
        <w:t xml:space="preserve"> väl</w:t>
      </w:r>
      <w:r>
        <w:t>itingimustes</w:t>
      </w:r>
      <w:r w:rsidRPr="00E17D3B">
        <w:t>, kuid</w:t>
      </w:r>
      <w:r>
        <w:t xml:space="preserve"> sel juhul</w:t>
      </w:r>
      <w:r w:rsidRPr="00E17D3B">
        <w:t xml:space="preserve"> tuleb tagada piisav vahemaa eri klassi</w:t>
      </w:r>
      <w:r>
        <w:t xml:space="preserve"> ainete</w:t>
      </w:r>
      <w:r w:rsidRPr="00E17D3B">
        <w:t xml:space="preserve"> vahel.</w:t>
      </w:r>
    </w:p>
    <w:p w14:paraId="46948080" w14:textId="77777777" w:rsidR="000D0219" w:rsidRDefault="000D0219" w:rsidP="000D0219">
      <w:pPr>
        <w:pStyle w:val="NoSpacing"/>
        <w:jc w:val="both"/>
      </w:pPr>
    </w:p>
    <w:p w14:paraId="4A1299B9" w14:textId="77777777" w:rsidR="000D0219" w:rsidRDefault="000D0219" w:rsidP="000D0219">
      <w:pPr>
        <w:pStyle w:val="NoSpacing"/>
        <w:numPr>
          <w:ilvl w:val="0"/>
          <w:numId w:val="14"/>
        </w:numPr>
        <w:jc w:val="both"/>
      </w:pPr>
      <w:r>
        <w:t xml:space="preserve">Ohtlike ainete </w:t>
      </w:r>
      <w:r w:rsidRPr="005E26BB">
        <w:rPr>
          <w:b/>
          <w:bCs/>
        </w:rPr>
        <w:t>eraldi hoidmine</w:t>
      </w:r>
      <w:r>
        <w:t xml:space="preserve"> tähendab, et neid võib ladustada samas ruumis ja üksteisest vähemalt kolme meetri kaugusel, kuid peab olema välistatud nende kokkupuude käitlemisel ja õnnetuse, sealhulgas pakendi lekkimise korral.</w:t>
      </w:r>
    </w:p>
    <w:p w14:paraId="46A02546" w14:textId="77777777" w:rsidR="000D0219" w:rsidRDefault="000D0219" w:rsidP="000D0219">
      <w:pPr>
        <w:pStyle w:val="NoSpacing"/>
        <w:jc w:val="both"/>
      </w:pPr>
    </w:p>
    <w:p w14:paraId="08C2CAD2" w14:textId="77777777" w:rsidR="000D0219" w:rsidRDefault="000D0219" w:rsidP="000D0219">
      <w:pPr>
        <w:pStyle w:val="NoSpacing"/>
        <w:numPr>
          <w:ilvl w:val="0"/>
          <w:numId w:val="14"/>
        </w:numPr>
        <w:jc w:val="both"/>
      </w:pPr>
      <w:r>
        <w:t xml:space="preserve">Ohtlike ainete </w:t>
      </w:r>
      <w:r w:rsidRPr="005E26BB">
        <w:rPr>
          <w:b/>
          <w:bCs/>
        </w:rPr>
        <w:t>isoleerimine</w:t>
      </w:r>
      <w:r>
        <w:t xml:space="preserve"> tähendab, et neid ladustatakse eraldi selleks kohandatud hoones või välitingimustes tulekindlates turvakappides. Mõlemal juhul on vajalik piisav eraldatus teistest hoonetest ja kinnistu piirist.</w:t>
      </w:r>
    </w:p>
    <w:p w14:paraId="33EB8C58" w14:textId="77777777" w:rsidR="000D0219" w:rsidRDefault="000D0219" w:rsidP="000D0219">
      <w:pPr>
        <w:pStyle w:val="NoSpacing"/>
        <w:jc w:val="both"/>
      </w:pPr>
    </w:p>
    <w:p w14:paraId="6E73CC54" w14:textId="77777777" w:rsidR="000D0219" w:rsidRDefault="000D0219" w:rsidP="000D0219">
      <w:pPr>
        <w:pStyle w:val="NoSpacing"/>
        <w:numPr>
          <w:ilvl w:val="0"/>
          <w:numId w:val="14"/>
        </w:numPr>
        <w:jc w:val="both"/>
      </w:pPr>
      <w:r>
        <w:t xml:space="preserve">Mõne ohtliku aine </w:t>
      </w:r>
      <w:r w:rsidRPr="005E26BB">
        <w:rPr>
          <w:b/>
          <w:bCs/>
        </w:rPr>
        <w:t>eraldamine</w:t>
      </w:r>
      <w:r>
        <w:t xml:space="preserve"> teisest </w:t>
      </w:r>
      <w:r w:rsidRPr="005E26BB">
        <w:rPr>
          <w:b/>
          <w:bCs/>
        </w:rPr>
        <w:t>ei pruugi olla vajalik</w:t>
      </w:r>
      <w:r>
        <w:t xml:space="preserve">, kuid täpsema info saamiseks tuleb uurida </w:t>
      </w:r>
      <w:r w:rsidRPr="00DB7BC9">
        <w:t xml:space="preserve">ohtliku </w:t>
      </w:r>
      <w:r>
        <w:t>aine ohutuskaarti ja muid allikaid, et saada reaktsioonivõimeandmeid ja teha kindlaks, kas ainete koos ladustamine on ohutu.</w:t>
      </w:r>
      <w:r w:rsidRPr="00562313">
        <w:t xml:space="preserve"> </w:t>
      </w:r>
      <w:r>
        <w:t>Samas võivad mõnel</w:t>
      </w:r>
      <w:r w:rsidRPr="00562313">
        <w:t xml:space="preserve"> juhul </w:t>
      </w:r>
      <w:r>
        <w:t>ohtlikud ained, mis on</w:t>
      </w:r>
      <w:r w:rsidRPr="00562313">
        <w:t xml:space="preserve"> </w:t>
      </w:r>
      <w:r>
        <w:t>eelnõu lisas 3</w:t>
      </w:r>
      <w:r w:rsidRPr="00562313">
        <w:t xml:space="preserve"> </w:t>
      </w:r>
      <w:r>
        <w:t xml:space="preserve">märgitud </w:t>
      </w:r>
      <w:r w:rsidRPr="00562313">
        <w:t>ühtesobiva</w:t>
      </w:r>
      <w:r>
        <w:t>ks,</w:t>
      </w:r>
      <w:r w:rsidRPr="00562313">
        <w:t xml:space="preserve"> omavahel reageerida. Se</w:t>
      </w:r>
      <w:r>
        <w:t xml:space="preserve">lliste juhtumite </w:t>
      </w:r>
      <w:r>
        <w:lastRenderedPageBreak/>
        <w:t xml:space="preserve">vältimiseks </w:t>
      </w:r>
      <w:r w:rsidRPr="00562313">
        <w:t xml:space="preserve">tuleb uurida </w:t>
      </w:r>
      <w:r w:rsidRPr="00DB7BC9">
        <w:t xml:space="preserve">ohtliku </w:t>
      </w:r>
      <w:r>
        <w:t>aine</w:t>
      </w:r>
      <w:r w:rsidRPr="00562313">
        <w:t xml:space="preserve"> ohutuskaar</w:t>
      </w:r>
      <w:r>
        <w:t>d</w:t>
      </w:r>
      <w:r w:rsidRPr="00562313">
        <w:t>i 7.</w:t>
      </w:r>
      <w:r>
        <w:t> </w:t>
      </w:r>
      <w:r w:rsidRPr="00562313">
        <w:t xml:space="preserve">jagu </w:t>
      </w:r>
      <w:r>
        <w:t>„K</w:t>
      </w:r>
      <w:r w:rsidRPr="00562313">
        <w:t>äitlemine ja ladustamine</w:t>
      </w:r>
      <w:r>
        <w:t>“</w:t>
      </w:r>
      <w:r w:rsidRPr="00562313">
        <w:t xml:space="preserve"> ja muid allikaid</w:t>
      </w:r>
      <w:r>
        <w:t>, et saada</w:t>
      </w:r>
      <w:r w:rsidRPr="00562313">
        <w:t xml:space="preserve"> reaktsioonivõimeandme</w:t>
      </w:r>
      <w:r>
        <w:t>id</w:t>
      </w:r>
      <w:r w:rsidRPr="00562313">
        <w:t xml:space="preserve"> </w:t>
      </w:r>
      <w:r>
        <w:t>ja</w:t>
      </w:r>
      <w:r w:rsidRPr="00562313">
        <w:t xml:space="preserve"> teha kindlaks, kas </w:t>
      </w:r>
      <w:r>
        <w:t>ainete</w:t>
      </w:r>
      <w:r w:rsidRPr="00562313">
        <w:t xml:space="preserve"> koos</w:t>
      </w:r>
      <w:r>
        <w:t xml:space="preserve"> ladustamine</w:t>
      </w:r>
      <w:r w:rsidRPr="00562313">
        <w:t xml:space="preserve"> on ohutu.</w:t>
      </w:r>
    </w:p>
    <w:p w14:paraId="6B72B3D7" w14:textId="77777777" w:rsidR="000D0219" w:rsidRDefault="000D0219" w:rsidP="000D0219">
      <w:pPr>
        <w:pStyle w:val="NoSpacing"/>
        <w:jc w:val="both"/>
      </w:pPr>
    </w:p>
    <w:p w14:paraId="2A6A2CBA" w14:textId="6975333B" w:rsidR="000D0219" w:rsidRDefault="000D0219" w:rsidP="000D0219">
      <w:pPr>
        <w:pStyle w:val="NoSpacing"/>
        <w:jc w:val="both"/>
      </w:pPr>
      <w:r w:rsidRPr="00240B71">
        <w:rPr>
          <w:b/>
          <w:bCs/>
          <w:color w:val="0070C0"/>
        </w:rPr>
        <w:t>Lõikega 3</w:t>
      </w:r>
      <w:r w:rsidRPr="00FF7B32">
        <w:t xml:space="preserve"> nähakse ette, et </w:t>
      </w:r>
      <w:r>
        <w:t xml:space="preserve">kui ohtlikke aineid ei ole võimalik </w:t>
      </w:r>
      <w:r w:rsidR="00867CB2" w:rsidRPr="00867CB2">
        <w:rPr>
          <w:highlight w:val="yellow"/>
        </w:rPr>
        <w:t>eraldada või hoida eraldi</w:t>
      </w:r>
      <w:r w:rsidRPr="00E17D3B">
        <w:t xml:space="preserve"> või</w:t>
      </w:r>
      <w:r>
        <w:t xml:space="preserve"> kui</w:t>
      </w:r>
      <w:r w:rsidRPr="00E17D3B">
        <w:t xml:space="preserve"> </w:t>
      </w:r>
      <w:r>
        <w:t xml:space="preserve">ohtliku aine </w:t>
      </w:r>
      <w:r w:rsidRPr="00E17D3B">
        <w:t xml:space="preserve">ohutuskaarte </w:t>
      </w:r>
      <w:r>
        <w:t>või</w:t>
      </w:r>
      <w:r w:rsidRPr="00E17D3B">
        <w:t xml:space="preserve"> muid allikaid uurides selgub, et ainete kokkupuutel tekib oht</w:t>
      </w:r>
      <w:r>
        <w:t xml:space="preserve">, </w:t>
      </w:r>
      <w:r w:rsidRPr="00867CB2">
        <w:rPr>
          <w:highlight w:val="yellow"/>
        </w:rPr>
        <w:t>kasuta</w:t>
      </w:r>
      <w:r w:rsidR="00867CB2" w:rsidRPr="00867CB2">
        <w:rPr>
          <w:highlight w:val="yellow"/>
        </w:rPr>
        <w:t>takse</w:t>
      </w:r>
      <w:r>
        <w:t xml:space="preserve"> ohtlike ainete kindlaid alusvanne või vallitusalasid.</w:t>
      </w:r>
    </w:p>
    <w:p w14:paraId="4642AB85" w14:textId="77777777" w:rsidR="000D0219" w:rsidRDefault="000D0219" w:rsidP="000D0219">
      <w:pPr>
        <w:pStyle w:val="NoSpacing"/>
        <w:jc w:val="both"/>
      </w:pPr>
    </w:p>
    <w:p w14:paraId="06BADFE4" w14:textId="77777777" w:rsidR="000D0219" w:rsidRDefault="000D0219" w:rsidP="000D0219">
      <w:pPr>
        <w:pStyle w:val="NoSpacing"/>
        <w:jc w:val="both"/>
      </w:pPr>
      <w:r>
        <w:t xml:space="preserve">Alusvanne või vallitusalasid tuleb kasutada ka juhul, kui on oht, et lekke korral valgub ohtlik aine teise ruumi, ohustab seadmeid või võib sattuda kanalisatsiooni. </w:t>
      </w:r>
      <w:r w:rsidRPr="005758C0">
        <w:t xml:space="preserve">Arvestama peab kindlasti ka seda, et </w:t>
      </w:r>
      <w:r>
        <w:t xml:space="preserve">ohtlikke </w:t>
      </w:r>
      <w:r w:rsidRPr="005758C0">
        <w:t>aineid võib laoruumis sõltuvalt ühtesobivuse</w:t>
      </w:r>
      <w:r>
        <w:t>st</w:t>
      </w:r>
      <w:r w:rsidRPr="005758C0">
        <w:t xml:space="preserve"> </w:t>
      </w:r>
      <w:r>
        <w:t>olla erinevaid</w:t>
      </w:r>
      <w:r w:rsidRPr="005758C0">
        <w:t xml:space="preserve"> </w:t>
      </w:r>
      <w:r>
        <w:t>ja ainete omaduste tõttu võib seega alus</w:t>
      </w:r>
      <w:r w:rsidRPr="005758C0">
        <w:t>vanni</w:t>
      </w:r>
      <w:r>
        <w:t>de</w:t>
      </w:r>
      <w:r w:rsidRPr="005758C0">
        <w:t xml:space="preserve"> materjal erine</w:t>
      </w:r>
      <w:r>
        <w:t>da. Alusvann või vallitusala peab olema vähemalt kümme protsenti suurem kui suurima ohtliku aine mahuti mahutavus. See peab tagama kindluse, et lekkiv aine mahub alusvanni või vallitusalasse ära. Lisaks tuleb arvestada ka neutraliseeriva või kustutava ainega, mis samuti peab kasutamisel alusvanni või vallitus</w:t>
      </w:r>
      <w:r>
        <w:softHyphen/>
        <w:t>alasse mahtuma. Lekke korral valgub ohtlik aine alusvanni või vallitusalasse ning seeläbi ei satu ohtu samas ruumis olevad muud ohtlikud ained ja seadmed. Teatud ohtlikud ained võivad kanalisatsiooni sattudes ohustada veepuhastusjaamu, sest tapavad bakterid, mis puhastavad vett. Ohtliku aine mahuti võib eelnõu tähenduses olla ka kanister või muu anum, milles hoiustatakse ohtlikke aineid. Nõude eesmärk on minimeerida võimalikku leket või purunemise tagajärjel õnnetuse eskaleerumist ja mõju ulatust.</w:t>
      </w:r>
    </w:p>
    <w:p w14:paraId="4A2BE7BF" w14:textId="77777777" w:rsidR="000D0219" w:rsidRDefault="000D0219" w:rsidP="000D0219">
      <w:pPr>
        <w:pStyle w:val="NoSpacing"/>
        <w:jc w:val="both"/>
      </w:pPr>
    </w:p>
    <w:p w14:paraId="116673E4" w14:textId="5B2F2C52" w:rsidR="000D0219" w:rsidRDefault="000D0219" w:rsidP="000D0219">
      <w:pPr>
        <w:pStyle w:val="NoSpacing"/>
        <w:jc w:val="both"/>
      </w:pPr>
      <w:r w:rsidRPr="00240B71">
        <w:rPr>
          <w:b/>
          <w:bCs/>
          <w:color w:val="0070C0"/>
        </w:rPr>
        <w:t>Lõike 4</w:t>
      </w:r>
      <w:r w:rsidRPr="005E26BB">
        <w:t xml:space="preserve"> kohaselt </w:t>
      </w:r>
      <w:r>
        <w:t xml:space="preserve">ei tohi omavahel reageerivaid ohtlikke aineid </w:t>
      </w:r>
      <w:r w:rsidR="009531C0" w:rsidRPr="009531C0">
        <w:rPr>
          <w:highlight w:val="yellow"/>
        </w:rPr>
        <w:t>ladustamisel</w:t>
      </w:r>
      <w:r w:rsidR="009531C0">
        <w:t xml:space="preserve"> </w:t>
      </w:r>
      <w:r>
        <w:t xml:space="preserve">käidelda samal ajal, kui nende segunemine ei ole </w:t>
      </w:r>
      <w:r>
        <w:t>avariiolukorra</w:t>
      </w:r>
      <w:r w:rsidR="005C5974">
        <w:t>s</w:t>
      </w:r>
      <w:r>
        <w:t xml:space="preserve"> välistatud. Ohtlikud a</w:t>
      </w:r>
      <w:r w:rsidRPr="008C5E66">
        <w:t xml:space="preserve">ined võivad omavahel reageerides põhjustada </w:t>
      </w:r>
      <w:r>
        <w:t>lisa</w:t>
      </w:r>
      <w:r w:rsidRPr="008C5E66">
        <w:t xml:space="preserve">ohtu. </w:t>
      </w:r>
      <w:r>
        <w:t xml:space="preserve">Nii ei saa näiteks ettevõtja </w:t>
      </w:r>
      <w:r>
        <w:t xml:space="preserve">viia samal ajal ühest kohast teise ühel transpordialusel ohtlikke aineid, mille </w:t>
      </w:r>
      <w:r w:rsidRPr="008C5E66">
        <w:t>reageerimisel võib moodustuda uus aine</w:t>
      </w:r>
      <w:r>
        <w:t xml:space="preserve"> või</w:t>
      </w:r>
      <w:r w:rsidRPr="008C5E66">
        <w:t xml:space="preserve"> süttiv või plahvatusohtlik aine või eraldu</w:t>
      </w:r>
      <w:r>
        <w:t>da</w:t>
      </w:r>
      <w:r w:rsidRPr="008C5E66">
        <w:t xml:space="preserve"> soojus.</w:t>
      </w:r>
    </w:p>
    <w:p w14:paraId="22789BB7" w14:textId="77777777" w:rsidR="000D0219" w:rsidRDefault="000D0219" w:rsidP="000D0219">
      <w:pPr>
        <w:pStyle w:val="NoSpacing"/>
        <w:jc w:val="both"/>
      </w:pPr>
    </w:p>
    <w:p w14:paraId="07FA8391" w14:textId="77777777" w:rsidR="000D0219" w:rsidRDefault="000D0219" w:rsidP="000D0219">
      <w:pPr>
        <w:pStyle w:val="NoSpacing"/>
        <w:jc w:val="both"/>
      </w:pPr>
      <w:r>
        <w:t>Õ</w:t>
      </w:r>
      <w:r w:rsidRPr="008C5E66">
        <w:t>nnetuse tagajärjed sõltuvad suuresti</w:t>
      </w:r>
      <w:r>
        <w:t>:</w:t>
      </w:r>
    </w:p>
    <w:p w14:paraId="3095FB1D" w14:textId="77777777" w:rsidR="000D0219" w:rsidRDefault="000D0219" w:rsidP="000D0219">
      <w:pPr>
        <w:pStyle w:val="NoSpacing"/>
        <w:numPr>
          <w:ilvl w:val="0"/>
          <w:numId w:val="15"/>
        </w:numPr>
        <w:jc w:val="both"/>
      </w:pPr>
      <w:r>
        <w:t>selle</w:t>
      </w:r>
      <w:r w:rsidRPr="008C5E66">
        <w:t xml:space="preserve"> tüübist</w:t>
      </w:r>
      <w:r>
        <w:t xml:space="preserve"> –</w:t>
      </w:r>
      <w:r w:rsidRPr="008C5E66">
        <w:t xml:space="preserve"> leke, põleng</w:t>
      </w:r>
      <w:r>
        <w:t xml:space="preserve"> või</w:t>
      </w:r>
      <w:r w:rsidRPr="008C5E66">
        <w:t xml:space="preserve"> plahvatus</w:t>
      </w:r>
      <w:r>
        <w:t>;</w:t>
      </w:r>
    </w:p>
    <w:p w14:paraId="04CF4C2C" w14:textId="77777777" w:rsidR="000D0219" w:rsidRDefault="000D0219" w:rsidP="000D0219">
      <w:pPr>
        <w:pStyle w:val="NoSpacing"/>
        <w:numPr>
          <w:ilvl w:val="0"/>
          <w:numId w:val="15"/>
        </w:numPr>
        <w:jc w:val="both"/>
      </w:pPr>
      <w:r w:rsidRPr="008C5E66">
        <w:t xml:space="preserve">ohtliku </w:t>
      </w:r>
      <w:r>
        <w:t>aine</w:t>
      </w:r>
      <w:r w:rsidRPr="008C5E66">
        <w:t xml:space="preserve"> omadus</w:t>
      </w:r>
      <w:r>
        <w:t>t</w:t>
      </w:r>
      <w:r w:rsidRPr="008C5E66">
        <w:t>est, s</w:t>
      </w:r>
      <w:r>
        <w:t>ealhulgas</w:t>
      </w:r>
      <w:r w:rsidRPr="008C5E66">
        <w:t xml:space="preserve"> olekust</w:t>
      </w:r>
      <w:r>
        <w:t xml:space="preserve"> – </w:t>
      </w:r>
      <w:r w:rsidRPr="008C5E66">
        <w:t>gaasiline, vedel</w:t>
      </w:r>
      <w:r>
        <w:t xml:space="preserve"> või</w:t>
      </w:r>
      <w:r w:rsidRPr="008C5E66">
        <w:t xml:space="preserve"> tahke</w:t>
      </w:r>
      <w:r>
        <w:t>;</w:t>
      </w:r>
    </w:p>
    <w:p w14:paraId="1FA9F626" w14:textId="77777777" w:rsidR="000D0219" w:rsidRDefault="000D0219" w:rsidP="000D0219">
      <w:pPr>
        <w:pStyle w:val="NoSpacing"/>
        <w:numPr>
          <w:ilvl w:val="0"/>
          <w:numId w:val="15"/>
        </w:numPr>
        <w:jc w:val="both"/>
      </w:pPr>
      <w:r w:rsidRPr="008C5E66">
        <w:t>ümbritsevast keskkonnast ja ilmastikutingimustest.</w:t>
      </w:r>
    </w:p>
    <w:p w14:paraId="0F107918" w14:textId="77777777" w:rsidR="000D0219" w:rsidRDefault="000D0219" w:rsidP="000D0219">
      <w:pPr>
        <w:pStyle w:val="NoSpacing"/>
        <w:jc w:val="both"/>
      </w:pPr>
      <w:r w:rsidRPr="008C5E66">
        <w:t xml:space="preserve">Väiksema õnnetuse korral on tagajärjed tuntavad vaid ettevõttes. Suurema õnnetuse korral võib mõju ulatuda väljapoole </w:t>
      </w:r>
      <w:r>
        <w:t>seda</w:t>
      </w:r>
      <w:r w:rsidRPr="008C5E66">
        <w:t xml:space="preserve"> ning kahjustada ümberkaudset elanikkonda, keskkonda ja vara.</w:t>
      </w:r>
    </w:p>
    <w:p w14:paraId="43CF9B99" w14:textId="77777777" w:rsidR="00907DD4" w:rsidRDefault="00907DD4" w:rsidP="002D74C5">
      <w:pPr>
        <w:pStyle w:val="NoSpacing"/>
        <w:jc w:val="both"/>
        <w:rPr>
          <w:b/>
          <w:bCs/>
          <w:color w:val="0070C0"/>
        </w:rPr>
      </w:pPr>
    </w:p>
    <w:p w14:paraId="4B40B304" w14:textId="1585A9CB" w:rsidR="002D74C5" w:rsidRDefault="000D0219" w:rsidP="002D74C5">
      <w:pPr>
        <w:pStyle w:val="NoSpacing"/>
        <w:jc w:val="both"/>
      </w:pPr>
      <w:r w:rsidRPr="00240B71">
        <w:rPr>
          <w:b/>
          <w:bCs/>
          <w:color w:val="0070C0"/>
        </w:rPr>
        <w:t>Lõike 5</w:t>
      </w:r>
      <w:r w:rsidRPr="00240B71">
        <w:rPr>
          <w:color w:val="0070C0"/>
        </w:rPr>
        <w:t xml:space="preserve"> </w:t>
      </w:r>
      <w:r w:rsidRPr="005E26BB">
        <w:t xml:space="preserve">kohaselt </w:t>
      </w:r>
      <w:r>
        <w:t xml:space="preserve">peavad ruumi põrand ja sein, mis võivad puutuda kokku ohtliku ainega, olema siledad ja tihedad ning kaetud ohtliku aine kindla materjaliga, et ohtlik aine ei koguneks, imbuks ruumi konstruktsiooni ega tekitaks muud lisaohtu. </w:t>
      </w:r>
      <w:r w:rsidRPr="008C5E66">
        <w:t>Ohutuse seisukohalt on oluline, et lekke korral ei valguks aine pragude</w:t>
      </w:r>
      <w:r>
        <w:t>sse</w:t>
      </w:r>
      <w:r w:rsidRPr="008C5E66">
        <w:t xml:space="preserve">, kuna seeläbi võib tekkida </w:t>
      </w:r>
      <w:r>
        <w:t>lisa</w:t>
      </w:r>
      <w:r w:rsidRPr="008C5E66">
        <w:t xml:space="preserve">oht nii </w:t>
      </w:r>
      <w:r>
        <w:t>ruumi</w:t>
      </w:r>
      <w:r w:rsidRPr="008C5E66">
        <w:t xml:space="preserve"> konstruktsioonile </w:t>
      </w:r>
      <w:r>
        <w:t>kui</w:t>
      </w:r>
      <w:r w:rsidRPr="008C5E66">
        <w:t xml:space="preserve"> ka inimestele, s</w:t>
      </w:r>
      <w:r>
        <w:t>ealhulgas</w:t>
      </w:r>
      <w:r w:rsidRPr="008C5E66">
        <w:t xml:space="preserve"> võib lekkinud </w:t>
      </w:r>
      <w:r>
        <w:t>ohtlik aine</w:t>
      </w:r>
      <w:r w:rsidRPr="008C5E66">
        <w:t xml:space="preserve"> reageerida pragude materjaliga. Juhul, kui </w:t>
      </w:r>
      <w:r>
        <w:t xml:space="preserve">ohtlik </w:t>
      </w:r>
      <w:r w:rsidRPr="008C5E66">
        <w:t>aine imbub läbi konstruktsiooni või seina</w:t>
      </w:r>
      <w:r>
        <w:t xml:space="preserve">- või </w:t>
      </w:r>
      <w:r w:rsidRPr="008C5E66">
        <w:t>põranda</w:t>
      </w:r>
      <w:r w:rsidRPr="00637FE4">
        <w:t>pinna</w:t>
      </w:r>
      <w:r w:rsidRPr="008C5E66">
        <w:t xml:space="preserve">, on </w:t>
      </w:r>
      <w:r>
        <w:t xml:space="preserve">see </w:t>
      </w:r>
      <w:r w:rsidRPr="008C5E66">
        <w:t xml:space="preserve">tulekahju korral </w:t>
      </w:r>
      <w:r>
        <w:t>lisa</w:t>
      </w:r>
      <w:r w:rsidRPr="008C5E66">
        <w:t xml:space="preserve">oht. Kui </w:t>
      </w:r>
      <w:r>
        <w:t xml:space="preserve">ehitises </w:t>
      </w:r>
      <w:r w:rsidRPr="008C5E66">
        <w:t xml:space="preserve">ei kasutata </w:t>
      </w:r>
      <w:r>
        <w:t xml:space="preserve">ohtliku aine kindlat </w:t>
      </w:r>
      <w:r w:rsidRPr="008C5E66">
        <w:t>materjal</w:t>
      </w:r>
      <w:r>
        <w:t>i</w:t>
      </w:r>
      <w:r w:rsidRPr="008C5E66">
        <w:t xml:space="preserve">, on lekke korral oht, et </w:t>
      </w:r>
      <w:r>
        <w:t xml:space="preserve">ohtlik </w:t>
      </w:r>
      <w:r w:rsidRPr="008C5E66">
        <w:t>aine reageerib materjaliga.</w:t>
      </w:r>
      <w:r w:rsidR="002D74C5">
        <w:t xml:space="preserve"> </w:t>
      </w:r>
      <w:r w:rsidR="002D74C5" w:rsidRPr="00A50048">
        <w:rPr>
          <w:highlight w:val="yellow"/>
        </w:rPr>
        <w:t>Üldiselt määratakse viimistlusmaterjal ehitusprojektiga, milles lähtutakse hoone muudest ehituslikest nõuetest ja võetakse arvesse ka aine ohtlikkust. Projekti koostamisel saab lähtuda siseministri 30. märtsi 2017. aasta määruse nr 17 „Ehitisele esitatavad tuleohutusnõuded“ §-s 8 toodud materjalide ja toodete jaotusest standardtulekatsete alusel. Kindlasti võetakse arvesse ka tootja sertifikaate ja paigaldusjuhised. Seega on oluline ehitusprojektis mõelda läbi siseviimistluses kasutatavad materjalid ja ehitamisel lähtuda ehitusproj</w:t>
      </w:r>
      <w:r w:rsidR="002D74C5" w:rsidRPr="002D74C5">
        <w:rPr>
          <w:highlight w:val="yellow"/>
        </w:rPr>
        <w:t xml:space="preserve">ektist. Ühtegi materjali ei saa siinkohal </w:t>
      </w:r>
      <w:r w:rsidR="00CA3790">
        <w:rPr>
          <w:highlight w:val="yellow"/>
        </w:rPr>
        <w:t>eraldi</w:t>
      </w:r>
      <w:r w:rsidR="002D74C5" w:rsidRPr="002D74C5">
        <w:rPr>
          <w:highlight w:val="yellow"/>
        </w:rPr>
        <w:t xml:space="preserve"> välja tuua, sest need on erinevate omadustega ja ette nähtud erinevates kohtades kasutamiseks.</w:t>
      </w:r>
      <w:r w:rsidR="002D74C5">
        <w:t xml:space="preserve"> </w:t>
      </w:r>
    </w:p>
    <w:p w14:paraId="2A211EE9" w14:textId="0C2087EF" w:rsidR="000D0219" w:rsidRDefault="000D0219" w:rsidP="000D0219">
      <w:pPr>
        <w:pStyle w:val="NoSpacing"/>
        <w:jc w:val="both"/>
      </w:pPr>
    </w:p>
    <w:p w14:paraId="53ABA10B" w14:textId="77777777" w:rsidR="000D0219" w:rsidRDefault="000D0219" w:rsidP="000D0219">
      <w:pPr>
        <w:pStyle w:val="NoSpacing"/>
        <w:jc w:val="both"/>
      </w:pPr>
      <w:r w:rsidRPr="00240B71">
        <w:rPr>
          <w:b/>
          <w:bCs/>
          <w:color w:val="0070C0"/>
        </w:rPr>
        <w:t>Lõike 6</w:t>
      </w:r>
      <w:r w:rsidRPr="005E26BB">
        <w:t xml:space="preserve"> </w:t>
      </w:r>
      <w:r>
        <w:t>kohaselt peab ohtliku aine ladustamise ruumi konstruktsioon olema selline, et võimaliku plahvatuse, tulekahju või ohtliku aine eraldumise mõju hoones oleks minimaalne. Selline r</w:t>
      </w:r>
      <w:r w:rsidRPr="00AD6B01">
        <w:t>uum</w:t>
      </w:r>
      <w:r w:rsidRPr="008C5E66">
        <w:t xml:space="preserve"> </w:t>
      </w:r>
      <w:r>
        <w:t>võiks</w:t>
      </w:r>
      <w:r w:rsidRPr="008C5E66">
        <w:t xml:space="preserve"> piirne</w:t>
      </w:r>
      <w:r>
        <w:t>d</w:t>
      </w:r>
      <w:r w:rsidRPr="008C5E66">
        <w:t xml:space="preserve">a välisseinaga, </w:t>
      </w:r>
      <w:r>
        <w:t>mille osa saaks</w:t>
      </w:r>
      <w:r w:rsidRPr="00AD6B01">
        <w:t xml:space="preserve"> </w:t>
      </w:r>
      <w:r w:rsidRPr="008C5E66">
        <w:t>täi</w:t>
      </w:r>
      <w:r>
        <w:t>ta</w:t>
      </w:r>
      <w:r w:rsidRPr="008C5E66">
        <w:t xml:space="preserve"> paiskpinna nõudeid. Seda on vaja, et tagada teiste konstruktsioonide piisav survekindlus, kui </w:t>
      </w:r>
      <w:r w:rsidRPr="00AD6B01">
        <w:t>avarii</w:t>
      </w:r>
      <w:r w:rsidRPr="008C5E66">
        <w:t xml:space="preserve"> tagajärjel võib rõhk tõusta</w:t>
      </w:r>
      <w:r>
        <w:t>,</w:t>
      </w:r>
      <w:r w:rsidRPr="008C5E66">
        <w:t xml:space="preserve"> n</w:t>
      </w:r>
      <w:r>
        <w:t>äiteks</w:t>
      </w:r>
      <w:r w:rsidRPr="008C5E66">
        <w:t xml:space="preserve"> keemiline reaktsioon, plahvatus</w:t>
      </w:r>
      <w:r>
        <w:t xml:space="preserve"> või</w:t>
      </w:r>
      <w:r w:rsidRPr="008C5E66">
        <w:t xml:space="preserve"> rõhu eraldumine seadmest. See hoiab ära kogu </w:t>
      </w:r>
      <w:r>
        <w:t>hoone</w:t>
      </w:r>
      <w:r w:rsidRPr="008C5E66">
        <w:t xml:space="preserve"> kokkuvarisemise</w:t>
      </w:r>
      <w:r>
        <w:t>,</w:t>
      </w:r>
      <w:r w:rsidRPr="008C5E66">
        <w:t xml:space="preserve"> </w:t>
      </w:r>
      <w:r>
        <w:t>kui</w:t>
      </w:r>
      <w:r w:rsidRPr="008C5E66">
        <w:t xml:space="preserve"> surve vabasta</w:t>
      </w:r>
      <w:r>
        <w:t>takse</w:t>
      </w:r>
      <w:r w:rsidRPr="008C5E66">
        <w:t xml:space="preserve"> ohutus suunas. Samuti </w:t>
      </w:r>
      <w:r>
        <w:t xml:space="preserve">on </w:t>
      </w:r>
      <w:r w:rsidRPr="009F672B">
        <w:t xml:space="preserve">ohtlike </w:t>
      </w:r>
      <w:r>
        <w:t>ainete puhul vaja</w:t>
      </w:r>
      <w:r w:rsidRPr="008C5E66">
        <w:t xml:space="preserve"> tagada tuletõkkesektsiooni</w:t>
      </w:r>
      <w:r>
        <w:t>de</w:t>
      </w:r>
      <w:r w:rsidRPr="008C5E66">
        <w:t xml:space="preserve"> olemasolu.</w:t>
      </w:r>
    </w:p>
    <w:p w14:paraId="7A4DF903" w14:textId="77777777" w:rsidR="000D0219" w:rsidRDefault="000D0219" w:rsidP="000D0219">
      <w:pPr>
        <w:pStyle w:val="NoSpacing"/>
        <w:jc w:val="both"/>
      </w:pPr>
    </w:p>
    <w:p w14:paraId="1C56D603" w14:textId="393BA961" w:rsidR="000D0219" w:rsidRDefault="000D0219" w:rsidP="000D0219">
      <w:pPr>
        <w:pStyle w:val="NoSpacing"/>
        <w:jc w:val="both"/>
      </w:pPr>
      <w:r w:rsidRPr="00240B71">
        <w:rPr>
          <w:b/>
          <w:bCs/>
          <w:color w:val="0070C0"/>
        </w:rPr>
        <w:t>Lõike 7</w:t>
      </w:r>
      <w:r w:rsidRPr="00240B71">
        <w:rPr>
          <w:color w:val="0070C0"/>
        </w:rPr>
        <w:t xml:space="preserve"> </w:t>
      </w:r>
      <w:r w:rsidRPr="00837030">
        <w:t>kohaselt</w:t>
      </w:r>
      <w:r>
        <w:t xml:space="preserve"> peab oksüdeeriva või põleva ohtliku aine ladustamise ruumi </w:t>
      </w:r>
      <w:r w:rsidRPr="00432C89">
        <w:t>põrandapind</w:t>
      </w:r>
      <w:r>
        <w:t xml:space="preserve"> olema mittesüttivast materjalist. Seinas ja laes tuleb kasutada materjali, mis ei soodusta tulekahju teket ja eritab vähe suitsu. </w:t>
      </w:r>
      <w:r w:rsidR="006B1F57">
        <w:t>M</w:t>
      </w:r>
      <w:r w:rsidR="002D74C5">
        <w:t>aterjalide valiku kohta</w:t>
      </w:r>
      <w:r w:rsidR="006B1F57">
        <w:t xml:space="preserve"> vaata</w:t>
      </w:r>
      <w:r w:rsidR="002D74C5">
        <w:t xml:space="preserve"> lõike 5 selgitust. </w:t>
      </w:r>
    </w:p>
    <w:p w14:paraId="4A5CF68C" w14:textId="77777777" w:rsidR="000D0219" w:rsidRDefault="000D0219" w:rsidP="000D0219">
      <w:pPr>
        <w:pStyle w:val="NoSpacing"/>
        <w:jc w:val="both"/>
      </w:pPr>
    </w:p>
    <w:p w14:paraId="47047B2B" w14:textId="756E48BB" w:rsidR="00F84274" w:rsidRDefault="000D0219" w:rsidP="000D0219">
      <w:pPr>
        <w:pStyle w:val="NoSpacing"/>
        <w:jc w:val="both"/>
      </w:pPr>
      <w:bookmarkStart w:id="20" w:name="_Hlk157410211"/>
      <w:r w:rsidRPr="00240B71">
        <w:rPr>
          <w:b/>
          <w:bCs/>
          <w:color w:val="0070C0"/>
        </w:rPr>
        <w:t xml:space="preserve">Lõike </w:t>
      </w:r>
      <w:r w:rsidR="002D74C5">
        <w:rPr>
          <w:b/>
          <w:bCs/>
          <w:color w:val="0070C0"/>
        </w:rPr>
        <w:t>8</w:t>
      </w:r>
      <w:r>
        <w:t xml:space="preserve"> kohaselt peab ohtliku aine ladustamise ruumis olema piisav loomulik õhuvahetus või ventilatsioon</w:t>
      </w:r>
      <w:r w:rsidR="00F84274">
        <w:t>,</w:t>
      </w:r>
      <w:r w:rsidR="00F84274" w:rsidRPr="00F84274">
        <w:t xml:space="preserve"> mis peab vastama ohtlikkust ainest ning selle käitlemisel tekkida võivale ohule</w:t>
      </w:r>
      <w:r>
        <w:t xml:space="preserve">. </w:t>
      </w:r>
      <w:r w:rsidR="00F84274" w:rsidRPr="00F84274">
        <w:rPr>
          <w:highlight w:val="yellow"/>
        </w:rPr>
        <w:t xml:space="preserve">See tähendab, et kõigepealt tuleb teha kindlaks ohtliku aine omadused ning toimingud, </w:t>
      </w:r>
      <w:r w:rsidR="00CA3790">
        <w:rPr>
          <w:highlight w:val="yellow"/>
        </w:rPr>
        <w:t xml:space="preserve">mida aine käitlemisel tehakse. </w:t>
      </w:r>
      <w:r w:rsidR="00F84274" w:rsidRPr="00F84274">
        <w:rPr>
          <w:highlight w:val="yellow"/>
        </w:rPr>
        <w:t xml:space="preserve">Näiteks kui tegemist on tuleohtliku aine ladustamisega või muu toiminguga, siis tuleb sellisest ruumist suunata õhk otse atmosfääri nii, et ei tekiks süttimisohtu. Värske õhu </w:t>
      </w:r>
      <w:proofErr w:type="spellStart"/>
      <w:r w:rsidR="00F84274" w:rsidRPr="00F84274">
        <w:rPr>
          <w:highlight w:val="yellow"/>
        </w:rPr>
        <w:t>sissepuhke</w:t>
      </w:r>
      <w:proofErr w:type="spellEnd"/>
      <w:r w:rsidR="00F84274" w:rsidRPr="00F84274">
        <w:rPr>
          <w:highlight w:val="yellow"/>
        </w:rPr>
        <w:t xml:space="preserve"> koht peab asuma eemal </w:t>
      </w:r>
      <w:proofErr w:type="spellStart"/>
      <w:r w:rsidR="00F84274" w:rsidRPr="00F84274">
        <w:rPr>
          <w:highlight w:val="yellow"/>
        </w:rPr>
        <w:t>väljapuhkest</w:t>
      </w:r>
      <w:proofErr w:type="spellEnd"/>
      <w:r w:rsidR="00F84274" w:rsidRPr="00F84274">
        <w:rPr>
          <w:highlight w:val="yellow"/>
        </w:rPr>
        <w:t>, see tähendab väljapool ohutsooni. Lisaks tuleb (tule)ohtliku aine puhul ka analüüsida, kas võib tekkida plahvatusohtlik keskkond, sest plahvatusohu korral on vaja kasutada plahvatusohu kindlaid seadmeid (tuleohutuse seadus § 29</w:t>
      </w:r>
      <w:r w:rsidR="00F84274" w:rsidRPr="00F84274">
        <w:rPr>
          <w:highlight w:val="yellow"/>
          <w:vertAlign w:val="superscript"/>
        </w:rPr>
        <w:t>1</w:t>
      </w:r>
      <w:r w:rsidR="00CA3790">
        <w:rPr>
          <w:highlight w:val="yellow"/>
          <w:vertAlign w:val="superscript"/>
        </w:rPr>
        <w:t xml:space="preserve"> </w:t>
      </w:r>
      <w:r w:rsidR="00CA3790">
        <w:rPr>
          <w:highlight w:val="yellow"/>
        </w:rPr>
        <w:t>lg 1</w:t>
      </w:r>
      <w:r w:rsidR="00F84274" w:rsidRPr="00F84274">
        <w:rPr>
          <w:highlight w:val="yellow"/>
        </w:rPr>
        <w:t>).</w:t>
      </w:r>
      <w:r w:rsidR="00F84274">
        <w:t xml:space="preserve"> </w:t>
      </w:r>
      <w:r>
        <w:t xml:space="preserve">Õnnetuse korral peab olema võimalik lülitada ventilatsioon kiiresti välja, </w:t>
      </w:r>
      <w:r w:rsidRPr="00336A6B">
        <w:t>mis peab tagama ohtlik</w:t>
      </w:r>
      <w:r>
        <w:t>u</w:t>
      </w:r>
      <w:r w:rsidRPr="00336A6B">
        <w:t xml:space="preserve"> aine kogusest tuleneva ohu </w:t>
      </w:r>
      <w:r>
        <w:t>minimeerimise</w:t>
      </w:r>
      <w:r w:rsidRPr="00336A6B">
        <w:t>.</w:t>
      </w:r>
      <w:r>
        <w:t xml:space="preserve"> Piisav on </w:t>
      </w:r>
      <w:r w:rsidRPr="00F81473">
        <w:t>ventilatsioon</w:t>
      </w:r>
      <w:r>
        <w:t>, mis tagab õhus lenduva aine eemaldamise ruumist.</w:t>
      </w:r>
      <w:r w:rsidRPr="00336A6B">
        <w:t xml:space="preserve"> </w:t>
      </w:r>
      <w:r w:rsidRPr="00F81473">
        <w:t>Ventilatsiooni</w:t>
      </w:r>
      <w:r w:rsidRPr="00336A6B">
        <w:t xml:space="preserve"> äratõm</w:t>
      </w:r>
      <w:r>
        <w:t>be</w:t>
      </w:r>
      <w:r w:rsidRPr="00336A6B">
        <w:t xml:space="preserve"> </w:t>
      </w:r>
      <w:r w:rsidRPr="009A47D4">
        <w:t>piisav</w:t>
      </w:r>
      <w:r>
        <w:t>ust</w:t>
      </w:r>
      <w:r w:rsidRPr="009A47D4">
        <w:t xml:space="preserve"> </w:t>
      </w:r>
      <w:r w:rsidRPr="00336A6B">
        <w:t xml:space="preserve">saab </w:t>
      </w:r>
      <w:r>
        <w:t>hinnata</w:t>
      </w:r>
      <w:r w:rsidRPr="00336A6B">
        <w:t xml:space="preserve"> näiteks, </w:t>
      </w:r>
      <w:r>
        <w:t>kui</w:t>
      </w:r>
      <w:r w:rsidRPr="00336A6B">
        <w:t xml:space="preserve"> </w:t>
      </w:r>
      <w:r>
        <w:t>hoida</w:t>
      </w:r>
      <w:r w:rsidRPr="00336A6B">
        <w:t xml:space="preserve"> töötava ventilatsi</w:t>
      </w:r>
      <w:r>
        <w:t>ooniava all</w:t>
      </w:r>
      <w:r w:rsidRPr="00336A6B">
        <w:t xml:space="preserve"> pabersalvrätik</w:t>
      </w:r>
      <w:r>
        <w:t>ut. K</w:t>
      </w:r>
      <w:r w:rsidRPr="00336A6B">
        <w:t>ui see liigub vastu äratõmbe</w:t>
      </w:r>
      <w:r>
        <w:softHyphen/>
      </w:r>
      <w:r w:rsidRPr="00336A6B">
        <w:t>resti, on ventilatsioonitugevus piisav.</w:t>
      </w:r>
      <w:r w:rsidR="00F84274" w:rsidRPr="00F84274">
        <w:t xml:space="preserve"> </w:t>
      </w:r>
    </w:p>
    <w:p w14:paraId="235D00A3" w14:textId="77777777" w:rsidR="00F84274" w:rsidRDefault="00F84274" w:rsidP="000D0219">
      <w:pPr>
        <w:pStyle w:val="NoSpacing"/>
        <w:jc w:val="both"/>
      </w:pPr>
    </w:p>
    <w:p w14:paraId="66E92EAD" w14:textId="77777777" w:rsidR="000D0219" w:rsidRDefault="000D0219" w:rsidP="000D0219">
      <w:pPr>
        <w:pStyle w:val="NoSpacing"/>
        <w:jc w:val="both"/>
      </w:pPr>
      <w:r>
        <w:t>Nõude täitmine peab tagama, et e</w:t>
      </w:r>
      <w:r w:rsidRPr="008C5E66">
        <w:t xml:space="preserve">i </w:t>
      </w:r>
      <w:r>
        <w:t>tekiks</w:t>
      </w:r>
      <w:r w:rsidRPr="008C5E66">
        <w:t xml:space="preserve"> </w:t>
      </w:r>
      <w:r>
        <w:t>ohtliku aine</w:t>
      </w:r>
      <w:r w:rsidRPr="008C5E66">
        <w:t xml:space="preserve"> ohtlikk</w:t>
      </w:r>
      <w:r>
        <w:t>u</w:t>
      </w:r>
      <w:r w:rsidRPr="008C5E66">
        <w:t xml:space="preserve"> </w:t>
      </w:r>
      <w:r>
        <w:t>sisaldust</w:t>
      </w:r>
      <w:r w:rsidRPr="008C5E66">
        <w:t>, s</w:t>
      </w:r>
      <w:r>
        <w:t>ealhulgas</w:t>
      </w:r>
      <w:r w:rsidRPr="008C5E66">
        <w:t xml:space="preserve"> tuleb arvestada </w:t>
      </w:r>
      <w:r>
        <w:t>ohtliku aine, näiteks põlevgaasi</w:t>
      </w:r>
      <w:r w:rsidRPr="008C5E66">
        <w:t xml:space="preserve"> süttimis</w:t>
      </w:r>
      <w:r>
        <w:t xml:space="preserve">e </w:t>
      </w:r>
      <w:r w:rsidRPr="008C5E66">
        <w:t xml:space="preserve">piiriga. Lekkiv põlevgaas võib moodustada kokkupuutel ümbritseva õhuga süttimisohtliku segu </w:t>
      </w:r>
      <w:r>
        <w:t>ja</w:t>
      </w:r>
      <w:r w:rsidRPr="008C5E66">
        <w:t xml:space="preserve"> viia tulekahju või plahvatuseni. Põlevgaasi sisalduse kasvades kasvab </w:t>
      </w:r>
      <w:r>
        <w:t xml:space="preserve">ka </w:t>
      </w:r>
      <w:r w:rsidRPr="008C5E66">
        <w:t xml:space="preserve">tulekahju risk. Kui </w:t>
      </w:r>
      <w:r>
        <w:t xml:space="preserve">sellise ohtliku aine </w:t>
      </w:r>
      <w:r w:rsidRPr="008C5E66">
        <w:t xml:space="preserve">sisaldus ületab </w:t>
      </w:r>
      <w:r w:rsidRPr="00E62104">
        <w:t xml:space="preserve">ülemise </w:t>
      </w:r>
      <w:r>
        <w:t>süttimispiiri</w:t>
      </w:r>
      <w:r w:rsidRPr="008C5E66">
        <w:t xml:space="preserve">, siis õhk küllastub </w:t>
      </w:r>
      <w:r>
        <w:t>ja</w:t>
      </w:r>
      <w:r w:rsidRPr="008C5E66">
        <w:t xml:space="preserve"> süttimine muutub vähem</w:t>
      </w:r>
      <w:r>
        <w:t xml:space="preserve"> </w:t>
      </w:r>
      <w:r w:rsidRPr="008C5E66">
        <w:t xml:space="preserve">tõenäoliseks. </w:t>
      </w:r>
      <w:r>
        <w:t>Ohtlikust ainest</w:t>
      </w:r>
      <w:r w:rsidRPr="008C5E66">
        <w:t xml:space="preserve"> eralduv gaas, aur, tolm jms ei tohi levida ühest ruumist teise ega väljapool</w:t>
      </w:r>
      <w:r>
        <w:t>e</w:t>
      </w:r>
      <w:r w:rsidRPr="008C5E66">
        <w:t xml:space="preserve"> neid.</w:t>
      </w:r>
    </w:p>
    <w:p w14:paraId="1AB09FAE" w14:textId="77777777" w:rsidR="000D0219" w:rsidRDefault="000D0219" w:rsidP="000D0219">
      <w:pPr>
        <w:pStyle w:val="NoSpacing"/>
        <w:jc w:val="both"/>
      </w:pPr>
    </w:p>
    <w:p w14:paraId="04EAA138" w14:textId="77777777" w:rsidR="000D0219" w:rsidRDefault="000D0219" w:rsidP="000D0219">
      <w:pPr>
        <w:pStyle w:val="NoSpacing"/>
        <w:jc w:val="both"/>
      </w:pPr>
      <w:r>
        <w:t>R</w:t>
      </w:r>
      <w:r w:rsidRPr="008C5E66">
        <w:t>uumides</w:t>
      </w:r>
      <w:r>
        <w:t>, kus hoiustatakse</w:t>
      </w:r>
      <w:r w:rsidRPr="008C5E66">
        <w:t xml:space="preserve"> </w:t>
      </w:r>
      <w:r>
        <w:t>e</w:t>
      </w:r>
      <w:r w:rsidRPr="008C5E66">
        <w:t>riti tuleohtlik</w:t>
      </w:r>
      <w:r>
        <w:t>ke</w:t>
      </w:r>
      <w:r w:rsidRPr="008C5E66">
        <w:t xml:space="preserve"> vedelik</w:t>
      </w:r>
      <w:r>
        <w:t xml:space="preserve">ke, </w:t>
      </w:r>
      <w:r w:rsidRPr="008C5E66">
        <w:t>on erineva</w:t>
      </w:r>
      <w:r>
        <w:t>te</w:t>
      </w:r>
      <w:r w:rsidRPr="008C5E66">
        <w:t xml:space="preserve"> tuletõkkesektsioonide ventilatsioon üksteisest eraldatud, näiteks tulesiibriga, et vältida tule levikut. </w:t>
      </w:r>
      <w:r>
        <w:t>Olenevalt</w:t>
      </w:r>
      <w:r w:rsidRPr="008C5E66">
        <w:t xml:space="preserve"> </w:t>
      </w:r>
      <w:r>
        <w:t>ruumist</w:t>
      </w:r>
      <w:r w:rsidRPr="008C5E66">
        <w:t xml:space="preserve"> võib </w:t>
      </w:r>
      <w:r>
        <w:t xml:space="preserve">seal </w:t>
      </w:r>
      <w:r w:rsidRPr="008C5E66">
        <w:t xml:space="preserve">olla nii loomulik kui </w:t>
      </w:r>
      <w:r>
        <w:t xml:space="preserve">ka </w:t>
      </w:r>
      <w:r w:rsidRPr="008C5E66">
        <w:t>sundventilatsioon. N</w:t>
      </w:r>
      <w:r>
        <w:t>äiteks</w:t>
      </w:r>
      <w:r w:rsidRPr="008C5E66">
        <w:t xml:space="preserve"> võib </w:t>
      </w:r>
      <w:r>
        <w:t xml:space="preserve">mistahes ohtliku aine </w:t>
      </w:r>
      <w:r w:rsidRPr="008C5E66">
        <w:t xml:space="preserve">ballooni ladustamise </w:t>
      </w:r>
      <w:r>
        <w:t>ruum</w:t>
      </w:r>
      <w:r w:rsidRPr="008C5E66">
        <w:t xml:space="preserve"> olla</w:t>
      </w:r>
      <w:r>
        <w:t xml:space="preserve"> ka</w:t>
      </w:r>
      <w:r w:rsidRPr="008C5E66">
        <w:t xml:space="preserve"> loomuliku ventilatsiooniga. Ventilatsioon peab tagama ohtlik</w:t>
      </w:r>
      <w:r>
        <w:t>u</w:t>
      </w:r>
      <w:r w:rsidRPr="008C5E66">
        <w:t xml:space="preserve"> aine kogusest tuleneva </w:t>
      </w:r>
      <w:r w:rsidRPr="0092214A">
        <w:t>ohu</w:t>
      </w:r>
      <w:r w:rsidRPr="008C5E66">
        <w:t xml:space="preserve"> </w:t>
      </w:r>
      <w:r>
        <w:t>minimeerimise</w:t>
      </w:r>
      <w:r w:rsidRPr="008C5E66">
        <w:t xml:space="preserve">. </w:t>
      </w:r>
      <w:r>
        <w:t>Ventilatsiooni tõhustamine ja piisavus tagatakse kohtäratõmbe paigutamisega saasteallikale võimalikult lähedale, et eemaldada saasteained nende tekkekohas. Selle näiteks on tõmbekapid</w:t>
      </w:r>
      <w:r w:rsidRPr="008C5E66">
        <w:t xml:space="preserve"> </w:t>
      </w:r>
      <w:r>
        <w:t xml:space="preserve">koolis keemiaklassis ja </w:t>
      </w:r>
      <w:r w:rsidRPr="00690151">
        <w:t>Eesti Kohtuekspertiisi Instituu</w:t>
      </w:r>
      <w:r>
        <w:t>di laboris.</w:t>
      </w:r>
      <w:r w:rsidRPr="008C5E66">
        <w:t xml:space="preserve"> </w:t>
      </w:r>
      <w:r>
        <w:t xml:space="preserve">Lisaks ei tohi eelnõu kohaselt ventilatsiooniruumis ladustada ohtlikku ainet, sest </w:t>
      </w:r>
      <w:r w:rsidRPr="00F56363">
        <w:t>õnnetuse korral on oht, et ohtlik aur liigu</w:t>
      </w:r>
      <w:r>
        <w:t>b</w:t>
      </w:r>
      <w:r w:rsidRPr="00F56363">
        <w:t xml:space="preserve"> ühest ruumist teise </w:t>
      </w:r>
      <w:r>
        <w:t>ja</w:t>
      </w:r>
      <w:r w:rsidRPr="00F56363">
        <w:t xml:space="preserve"> põhjusta</w:t>
      </w:r>
      <w:r>
        <w:t>b</w:t>
      </w:r>
      <w:r w:rsidRPr="00F56363">
        <w:t xml:space="preserve"> </w:t>
      </w:r>
      <w:r>
        <w:t>lisa</w:t>
      </w:r>
      <w:r w:rsidRPr="00F56363">
        <w:t>ohtu.</w:t>
      </w:r>
    </w:p>
    <w:p w14:paraId="38378E00" w14:textId="77777777" w:rsidR="000D0219" w:rsidRDefault="000D0219" w:rsidP="000D0219">
      <w:pPr>
        <w:pStyle w:val="NoSpacing"/>
        <w:jc w:val="both"/>
      </w:pPr>
    </w:p>
    <w:p w14:paraId="464F79BB" w14:textId="77777777" w:rsidR="000D0219" w:rsidRDefault="000D0219" w:rsidP="000D0219">
      <w:pPr>
        <w:pStyle w:val="NoSpacing"/>
        <w:jc w:val="both"/>
      </w:pPr>
      <w:r>
        <w:t>Ventilatsiooni kiireks ja ohutuks väljalülitamiseks on eelistatud, kui väljalülituskoht asub väljaspool ruumi, kus hoitakse ohtlikku ainet.</w:t>
      </w:r>
    </w:p>
    <w:bookmarkEnd w:id="20"/>
    <w:p w14:paraId="71FDCBB4" w14:textId="77777777" w:rsidR="000D0219" w:rsidRDefault="000D0219" w:rsidP="000D0219">
      <w:pPr>
        <w:pStyle w:val="NoSpacing"/>
        <w:jc w:val="both"/>
      </w:pPr>
    </w:p>
    <w:p w14:paraId="307CB140" w14:textId="2D74DD29" w:rsidR="000D0219" w:rsidRDefault="000D0219" w:rsidP="000D0219">
      <w:pPr>
        <w:pStyle w:val="NoSpacing"/>
        <w:jc w:val="both"/>
      </w:pPr>
      <w:r w:rsidRPr="00240B71">
        <w:rPr>
          <w:b/>
          <w:bCs/>
          <w:color w:val="0070C0"/>
        </w:rPr>
        <w:t xml:space="preserve">Lõike </w:t>
      </w:r>
      <w:r w:rsidR="002D74C5">
        <w:rPr>
          <w:b/>
          <w:bCs/>
          <w:color w:val="0070C0"/>
        </w:rPr>
        <w:t>9</w:t>
      </w:r>
      <w:r w:rsidRPr="00240B71">
        <w:rPr>
          <w:color w:val="0070C0"/>
        </w:rPr>
        <w:t xml:space="preserve"> </w:t>
      </w:r>
      <w:r w:rsidRPr="00BB27DE">
        <w:t xml:space="preserve">kohaselt </w:t>
      </w:r>
      <w:r w:rsidRPr="001823A8">
        <w:t>peab kõrvalise isiku juurdepääs ohtlik</w:t>
      </w:r>
      <w:r>
        <w:t>u</w:t>
      </w:r>
      <w:r w:rsidRPr="001823A8">
        <w:t xml:space="preserve"> aine </w:t>
      </w:r>
      <w:r>
        <w:t xml:space="preserve">ladustamise </w:t>
      </w:r>
      <w:r w:rsidRPr="001823A8">
        <w:t>kohale olema</w:t>
      </w:r>
      <w:r>
        <w:t xml:space="preserve"> tõkestatud. </w:t>
      </w:r>
      <w:r w:rsidRPr="00F56363">
        <w:t xml:space="preserve">Selleks, et </w:t>
      </w:r>
      <w:r>
        <w:t xml:space="preserve">vältida seda, et </w:t>
      </w:r>
      <w:r w:rsidRPr="00F56363">
        <w:t>inimene tekita</w:t>
      </w:r>
      <w:r>
        <w:t>b</w:t>
      </w:r>
      <w:r w:rsidRPr="00F56363">
        <w:t xml:space="preserve"> ohtu</w:t>
      </w:r>
      <w:r>
        <w:t xml:space="preserve"> ohtliku aine</w:t>
      </w:r>
      <w:r w:rsidRPr="00F56363">
        <w:t xml:space="preserve"> </w:t>
      </w:r>
      <w:r>
        <w:t xml:space="preserve">ladustamise </w:t>
      </w:r>
      <w:r w:rsidRPr="00F56363">
        <w:t xml:space="preserve">kohale </w:t>
      </w:r>
      <w:r>
        <w:t>või</w:t>
      </w:r>
      <w:r w:rsidRPr="00F56363">
        <w:t xml:space="preserve"> </w:t>
      </w:r>
      <w:r>
        <w:t>ohtlikud ained</w:t>
      </w:r>
      <w:r w:rsidRPr="00F56363">
        <w:t xml:space="preserve"> tekita</w:t>
      </w:r>
      <w:r>
        <w:t>vad</w:t>
      </w:r>
      <w:r w:rsidRPr="00F56363">
        <w:t xml:space="preserve"> ohtu</w:t>
      </w:r>
      <w:r w:rsidRPr="001823A8">
        <w:t xml:space="preserve"> </w:t>
      </w:r>
      <w:r w:rsidRPr="00F56363">
        <w:t>inimesele</w:t>
      </w:r>
      <w:r>
        <w:t>,</w:t>
      </w:r>
      <w:r w:rsidRPr="00F56363">
        <w:t xml:space="preserve"> </w:t>
      </w:r>
      <w:r>
        <w:t>ja</w:t>
      </w:r>
      <w:r w:rsidRPr="00F56363">
        <w:t xml:space="preserve"> vähendada õnnetuse tagajärgi</w:t>
      </w:r>
      <w:r>
        <w:t>,</w:t>
      </w:r>
      <w:r w:rsidRPr="00F56363">
        <w:t xml:space="preserve"> on vaja hoida </w:t>
      </w:r>
      <w:r w:rsidRPr="00F56363">
        <w:lastRenderedPageBreak/>
        <w:t xml:space="preserve">kõrvalised isikud </w:t>
      </w:r>
      <w:r>
        <w:t xml:space="preserve">ohtliku aine ladustamise </w:t>
      </w:r>
      <w:r w:rsidRPr="00F56363">
        <w:t xml:space="preserve">kohast eemal. Eriti </w:t>
      </w:r>
      <w:r>
        <w:t>on see vajalik</w:t>
      </w:r>
      <w:r w:rsidRPr="00F56363">
        <w:t xml:space="preserve"> avalikes ruumides käideldav</w:t>
      </w:r>
      <w:r>
        <w:t>ate</w:t>
      </w:r>
      <w:r w:rsidRPr="00F56363">
        <w:t xml:space="preserve"> </w:t>
      </w:r>
      <w:r>
        <w:t xml:space="preserve">ohtlike ainete puhul, näiteks </w:t>
      </w:r>
      <w:r w:rsidRPr="00F56363">
        <w:t>koolides ja lasteaedades basseinikemikaalid</w:t>
      </w:r>
      <w:r>
        <w:t xml:space="preserve"> ning</w:t>
      </w:r>
      <w:r w:rsidRPr="00F56363">
        <w:t xml:space="preserve"> muud pesukemikaalid. </w:t>
      </w:r>
      <w:r>
        <w:t>Samamoodi on vaja tagada ohutus t</w:t>
      </w:r>
      <w:r w:rsidRPr="00F56363">
        <w:t>ööstus</w:t>
      </w:r>
      <w:r>
        <w:t>es, sealhulgas</w:t>
      </w:r>
      <w:r w:rsidRPr="00F56363">
        <w:t xml:space="preserve"> ettevõt</w:t>
      </w:r>
      <w:r>
        <w:t>t</w:t>
      </w:r>
      <w:r w:rsidRPr="00F56363">
        <w:t xml:space="preserve">e </w:t>
      </w:r>
      <w:r>
        <w:t>ohtliku aine</w:t>
      </w:r>
      <w:r w:rsidRPr="00F56363">
        <w:t xml:space="preserve"> </w:t>
      </w:r>
      <w:r>
        <w:t xml:space="preserve">ladustamise </w:t>
      </w:r>
      <w:r w:rsidRPr="00F56363">
        <w:t>koha</w:t>
      </w:r>
      <w:r>
        <w:t>s</w:t>
      </w:r>
      <w:r w:rsidRPr="00F56363">
        <w:t xml:space="preserve">, eriti kui territoorium ei ole piiratud aiaga või tagatud ei ole valve. </w:t>
      </w:r>
      <w:r>
        <w:t>Ohtliku aine</w:t>
      </w:r>
      <w:r w:rsidRPr="00F56363">
        <w:t xml:space="preserve"> </w:t>
      </w:r>
      <w:r>
        <w:t xml:space="preserve">ladustamise </w:t>
      </w:r>
      <w:r w:rsidRPr="00F56363">
        <w:t>kohad</w:t>
      </w:r>
      <w:r>
        <w:t>,</w:t>
      </w:r>
      <w:r w:rsidRPr="00F56363">
        <w:t xml:space="preserve"> s</w:t>
      </w:r>
      <w:r>
        <w:t>ealhulgas</w:t>
      </w:r>
      <w:r w:rsidRPr="00F56363">
        <w:t xml:space="preserve"> mahuti tühjendamis- ja täiteavad</w:t>
      </w:r>
      <w:r>
        <w:t>,</w:t>
      </w:r>
      <w:r w:rsidRPr="00F56363">
        <w:t xml:space="preserve"> peavad võimaliku vandalismiohu vältimiseks olema lukustatud, et vähendada võimalikku ohtu inimese tervisele, keskkonnale ja varale.</w:t>
      </w:r>
    </w:p>
    <w:p w14:paraId="3AA8BDA4" w14:textId="77777777" w:rsidR="000D0219" w:rsidRDefault="000D0219" w:rsidP="000D0219">
      <w:pPr>
        <w:pStyle w:val="NoSpacing"/>
        <w:jc w:val="both"/>
      </w:pPr>
    </w:p>
    <w:p w14:paraId="76800ACD" w14:textId="1D20EF4F" w:rsidR="000D0219" w:rsidRDefault="000D0219" w:rsidP="000D0219">
      <w:pPr>
        <w:pStyle w:val="NoSpacing"/>
        <w:jc w:val="both"/>
      </w:pPr>
      <w:r w:rsidRPr="00240B71">
        <w:rPr>
          <w:b/>
          <w:bCs/>
          <w:color w:val="0070C0"/>
        </w:rPr>
        <w:t>Lõike 1</w:t>
      </w:r>
      <w:r w:rsidR="002D74C5">
        <w:rPr>
          <w:b/>
          <w:bCs/>
          <w:color w:val="0070C0"/>
        </w:rPr>
        <w:t>0</w:t>
      </w:r>
      <w:r w:rsidRPr="00240B71">
        <w:rPr>
          <w:color w:val="0070C0"/>
        </w:rPr>
        <w:t xml:space="preserve"> </w:t>
      </w:r>
      <w:r>
        <w:t xml:space="preserve">kohaselt tuleb ohtliku aine ladustamise kohas, </w:t>
      </w:r>
      <w:r w:rsidRPr="00321B4B">
        <w:t xml:space="preserve">kus on </w:t>
      </w:r>
      <w:r>
        <w:t>oht, et</w:t>
      </w:r>
      <w:r w:rsidRPr="00321B4B">
        <w:t xml:space="preserve"> ohtliku aine</w:t>
      </w:r>
      <w:r>
        <w:t xml:space="preserve"> mahuti saab</w:t>
      </w:r>
      <w:r w:rsidRPr="00321B4B">
        <w:t xml:space="preserve"> mehaanilise</w:t>
      </w:r>
      <w:r>
        <w:t>lt</w:t>
      </w:r>
      <w:r w:rsidRPr="00321B4B">
        <w:t xml:space="preserve"> vigast</w:t>
      </w:r>
      <w:r>
        <w:t xml:space="preserve">ada, paigaldada otsasõidu vältimise tõkis. See nõue peab tagama, et </w:t>
      </w:r>
      <w:r w:rsidRPr="00F56363">
        <w:t>inimene</w:t>
      </w:r>
      <w:r>
        <w:t xml:space="preserve"> või</w:t>
      </w:r>
      <w:r w:rsidRPr="00F56363">
        <w:t xml:space="preserve"> aut</w:t>
      </w:r>
      <w:r>
        <w:t>o või muu masin ei tekitaks ladustamis</w:t>
      </w:r>
      <w:r w:rsidRPr="00F56363">
        <w:t xml:space="preserve">kohale </w:t>
      </w:r>
      <w:r>
        <w:t>lisa</w:t>
      </w:r>
      <w:r w:rsidRPr="00F56363">
        <w:t>ohtu</w:t>
      </w:r>
      <w:r>
        <w:t xml:space="preserve">. Tõkis või vajadusel tõkised leevendavad ka </w:t>
      </w:r>
      <w:r w:rsidRPr="00F56363">
        <w:t xml:space="preserve">õnnetuse </w:t>
      </w:r>
      <w:r>
        <w:t xml:space="preserve">võimalikke </w:t>
      </w:r>
      <w:r w:rsidRPr="00F56363">
        <w:t>tagajärg</w:t>
      </w:r>
      <w:r>
        <w:t>i,</w:t>
      </w:r>
      <w:r w:rsidRPr="00F56363">
        <w:t xml:space="preserve"> </w:t>
      </w:r>
      <w:r>
        <w:t>vähendades näiteks löögitugevust</w:t>
      </w:r>
      <w:r w:rsidRPr="00F56363">
        <w:t>.</w:t>
      </w:r>
    </w:p>
    <w:p w14:paraId="292B4C97" w14:textId="77777777" w:rsidR="000D0219" w:rsidRDefault="000D0219" w:rsidP="000D0219">
      <w:pPr>
        <w:pStyle w:val="NoSpacing"/>
        <w:jc w:val="both"/>
      </w:pPr>
    </w:p>
    <w:p w14:paraId="7D2608E7" w14:textId="77AFB4C8" w:rsidR="000D0219" w:rsidRDefault="000D0219" w:rsidP="000D0219">
      <w:pPr>
        <w:pStyle w:val="NoSpacing"/>
        <w:jc w:val="both"/>
      </w:pPr>
      <w:r w:rsidRPr="00240B71">
        <w:rPr>
          <w:b/>
          <w:bCs/>
          <w:color w:val="0070C0"/>
        </w:rPr>
        <w:t>Lõike 1</w:t>
      </w:r>
      <w:r w:rsidR="002D74C5">
        <w:rPr>
          <w:b/>
          <w:bCs/>
          <w:color w:val="0070C0"/>
        </w:rPr>
        <w:t>1</w:t>
      </w:r>
      <w:r w:rsidRPr="00240B71">
        <w:rPr>
          <w:color w:val="0070C0"/>
        </w:rPr>
        <w:t xml:space="preserve"> </w:t>
      </w:r>
      <w:r>
        <w:t xml:space="preserve">kohaselt peab </w:t>
      </w:r>
      <w:r w:rsidRPr="00336A6B">
        <w:t>ohtlik</w:t>
      </w:r>
      <w:r>
        <w:t>u</w:t>
      </w:r>
      <w:r w:rsidRPr="00336A6B">
        <w:t xml:space="preserve"> aine </w:t>
      </w:r>
      <w:r>
        <w:t>ladustamise koht</w:t>
      </w:r>
      <w:r w:rsidRPr="00336A6B">
        <w:t xml:space="preserve"> olema </w:t>
      </w:r>
      <w:r w:rsidRPr="006A5186">
        <w:t>territooriumil</w:t>
      </w:r>
      <w:r w:rsidRPr="00336A6B">
        <w:t xml:space="preserve"> põlevmaterjalist</w:t>
      </w:r>
      <w:r w:rsidR="002D74C5">
        <w:t xml:space="preserve"> ja</w:t>
      </w:r>
      <w:r w:rsidRPr="00336A6B">
        <w:t xml:space="preserve"> </w:t>
      </w:r>
      <w:r w:rsidR="002D74C5" w:rsidRPr="00FE14C3">
        <w:rPr>
          <w:rFonts w:eastAsia="Times New Roman"/>
          <w:color w:val="202020"/>
          <w:lang w:eastAsia="et-EE"/>
        </w:rPr>
        <w:t>elu- või töökoha</w:t>
      </w:r>
      <w:r w:rsidR="002D74C5">
        <w:rPr>
          <w:rFonts w:eastAsia="Times New Roman"/>
          <w:color w:val="202020"/>
          <w:lang w:eastAsia="et-EE"/>
        </w:rPr>
        <w:t xml:space="preserve">ga </w:t>
      </w:r>
      <w:r w:rsidR="002D74C5" w:rsidRPr="00FE14C3">
        <w:rPr>
          <w:rFonts w:eastAsia="Times New Roman"/>
          <w:color w:val="202020"/>
          <w:lang w:eastAsia="et-EE"/>
        </w:rPr>
        <w:t>hoone</w:t>
      </w:r>
      <w:r w:rsidR="002D74C5" w:rsidRPr="00FE14C3" w:rsidDel="000E3A4E">
        <w:rPr>
          <w:rFonts w:eastAsia="Times New Roman"/>
          <w:color w:val="202020"/>
          <w:lang w:eastAsia="et-EE"/>
        </w:rPr>
        <w:t xml:space="preserve"> </w:t>
      </w:r>
      <w:r w:rsidR="002D74C5" w:rsidRPr="00FE14C3">
        <w:rPr>
          <w:rFonts w:eastAsia="Times New Roman"/>
          <w:color w:val="202020"/>
          <w:lang w:eastAsia="et-EE"/>
        </w:rPr>
        <w:t xml:space="preserve">välisseinast </w:t>
      </w:r>
      <w:r w:rsidRPr="00336A6B">
        <w:t>vähemalt kuue meetri kaugusel</w:t>
      </w:r>
      <w:r>
        <w:t xml:space="preserve">. </w:t>
      </w:r>
      <w:r w:rsidRPr="00F56363">
        <w:t>Põlevmaterjal</w:t>
      </w:r>
      <w:r>
        <w:t>id,</w:t>
      </w:r>
      <w:r w:rsidRPr="00F56363">
        <w:t xml:space="preserve"> n</w:t>
      </w:r>
      <w:r>
        <w:t>äiteks</w:t>
      </w:r>
      <w:r w:rsidRPr="00F56363">
        <w:t xml:space="preserve"> kuivanud hein, puud, puidust alused</w:t>
      </w:r>
      <w:r>
        <w:t xml:space="preserve"> ja</w:t>
      </w:r>
      <w:r w:rsidRPr="00F56363">
        <w:t xml:space="preserve"> papijäätmed</w:t>
      </w:r>
      <w:r>
        <w:t>,</w:t>
      </w:r>
      <w:r w:rsidRPr="00F56363">
        <w:t xml:space="preserve"> või</w:t>
      </w:r>
      <w:r>
        <w:t>vad</w:t>
      </w:r>
      <w:r w:rsidRPr="00F56363">
        <w:t xml:space="preserve"> õnnetuse</w:t>
      </w:r>
      <w:r>
        <w:t>,</w:t>
      </w:r>
      <w:r w:rsidRPr="00F56363">
        <w:t xml:space="preserve"> n</w:t>
      </w:r>
      <w:r>
        <w:t>äiteks</w:t>
      </w:r>
      <w:r w:rsidRPr="00F56363">
        <w:t xml:space="preserve"> tulekahju korral ohustada ohtlik</w:t>
      </w:r>
      <w:r>
        <w:t>u</w:t>
      </w:r>
      <w:r w:rsidRPr="00F56363">
        <w:t xml:space="preserve"> aine </w:t>
      </w:r>
      <w:r>
        <w:t>ladustamise kohta.</w:t>
      </w:r>
      <w:r w:rsidRPr="00F56363">
        <w:t xml:space="preserve"> </w:t>
      </w:r>
      <w:r>
        <w:t>S</w:t>
      </w:r>
      <w:r w:rsidRPr="00F56363">
        <w:t xml:space="preserve">eeläbi võib õnnetus eskaleeruda, </w:t>
      </w:r>
      <w:r>
        <w:t>näiteks tuli</w:t>
      </w:r>
      <w:r w:rsidRPr="00F56363">
        <w:t xml:space="preserve"> levida ühest kohast teise, mis suurendab tagajärgede ulatust ja raskust.</w:t>
      </w:r>
      <w:r>
        <w:t xml:space="preserve"> Samamoodi võib põlevmaterjal kanda ohtliku aine süttimise korral tuld edasi ja suurendada ohtu. Seega tuleb neid hoida üksteisest eemal.</w:t>
      </w:r>
      <w:r w:rsidR="00C84242" w:rsidRPr="00C84242">
        <w:t xml:space="preserve"> </w:t>
      </w:r>
      <w:r w:rsidR="002D74C5" w:rsidRPr="002D74C5">
        <w:rPr>
          <w:highlight w:val="yellow"/>
        </w:rPr>
        <w:t xml:space="preserve">Kuuemeetrine kuja tagab ohtliku aine õnnetuse, näiteks selle süttimise, plahvatuse või lekke korral võimalikult väikese mõju läheduses olevale hoonele. Samamoodi tagab kuuemeetrine kuja eelkõige tulekahju korral võimalikult väikese mõju läheduses olevatele ohtlikele ainetele. </w:t>
      </w:r>
      <w:r w:rsidR="00C84242" w:rsidRPr="002D74C5">
        <w:rPr>
          <w:highlight w:val="yellow"/>
        </w:rPr>
        <w:t>Kuue</w:t>
      </w:r>
      <w:r w:rsidR="00C84242" w:rsidRPr="00C84242">
        <w:rPr>
          <w:highlight w:val="yellow"/>
        </w:rPr>
        <w:t>meetrine kuja on otseselt seotud järgnevates paragrahvides toodud mahutite ja mahutiparkide väiksema maapealse naftasaaduse, põlevkiviõli või selle saaduse või biokütuse mahuti kujaga. Selliselt on kujadele kehtestatud sarnased nõuded ning selline kuja tagab vajadusel ka operatiivteenistustele ligi- ja läbipääsud.</w:t>
      </w:r>
    </w:p>
    <w:p w14:paraId="475B9612" w14:textId="77777777" w:rsidR="006B1F57" w:rsidRDefault="006B1F57" w:rsidP="000D0219">
      <w:pPr>
        <w:pStyle w:val="NoSpacing"/>
        <w:jc w:val="both"/>
        <w:rPr>
          <w:highlight w:val="yellow"/>
        </w:rPr>
      </w:pPr>
    </w:p>
    <w:p w14:paraId="1B355824" w14:textId="7CC27135" w:rsidR="0073437B" w:rsidRDefault="0031347D" w:rsidP="000D0219">
      <w:pPr>
        <w:pStyle w:val="NoSpacing"/>
        <w:jc w:val="both"/>
      </w:pPr>
      <w:r>
        <w:rPr>
          <w:highlight w:val="yellow"/>
        </w:rPr>
        <w:t xml:space="preserve">Ehkki </w:t>
      </w:r>
      <w:proofErr w:type="spellStart"/>
      <w:r>
        <w:rPr>
          <w:highlight w:val="yellow"/>
        </w:rPr>
        <w:t>jaemüüjatele</w:t>
      </w:r>
      <w:proofErr w:type="spellEnd"/>
      <w:r>
        <w:rPr>
          <w:highlight w:val="yellow"/>
        </w:rPr>
        <w:t xml:space="preserve"> eelnõus sätestatud ohtlike ainete ladustamise tuleohutusnõuded ei kehti, on siiski ka näiteks tanklates oluline tagada ohutus ja arvesse </w:t>
      </w:r>
      <w:r w:rsidR="00D77717">
        <w:rPr>
          <w:highlight w:val="yellow"/>
        </w:rPr>
        <w:t xml:space="preserve">tuleb </w:t>
      </w:r>
      <w:r>
        <w:rPr>
          <w:highlight w:val="yellow"/>
        </w:rPr>
        <w:t>võtta põlevmaterjali ladustamise tuleohutusnõude</w:t>
      </w:r>
      <w:r w:rsidR="00084266">
        <w:rPr>
          <w:highlight w:val="yellow"/>
        </w:rPr>
        <w:t>i</w:t>
      </w:r>
      <w:r>
        <w:rPr>
          <w:highlight w:val="yellow"/>
        </w:rPr>
        <w:t>d</w:t>
      </w:r>
      <w:r w:rsidR="00084266">
        <w:rPr>
          <w:highlight w:val="yellow"/>
        </w:rPr>
        <w:t xml:space="preserve"> (</w:t>
      </w:r>
      <w:r w:rsidR="00084266" w:rsidRPr="00D77717">
        <w:rPr>
          <w:highlight w:val="yellow"/>
        </w:rPr>
        <w:t>vt ka § 6</w:t>
      </w:r>
      <w:r w:rsidR="00084266">
        <w:rPr>
          <w:highlight w:val="yellow"/>
        </w:rPr>
        <w:t>)</w:t>
      </w:r>
      <w:r>
        <w:rPr>
          <w:highlight w:val="yellow"/>
        </w:rPr>
        <w:t xml:space="preserve">. </w:t>
      </w:r>
      <w:r w:rsidR="0073437B" w:rsidRPr="0073437B">
        <w:rPr>
          <w:highlight w:val="yellow"/>
        </w:rPr>
        <w:t xml:space="preserve">Klaasipesuvedelike ja küttepuude ladustamine tanklapoodide välisseinte ääres on </w:t>
      </w:r>
      <w:r w:rsidR="00FC3BFD">
        <w:rPr>
          <w:highlight w:val="yellow"/>
        </w:rPr>
        <w:t>l</w:t>
      </w:r>
      <w:r w:rsidR="0073437B" w:rsidRPr="0073437B">
        <w:rPr>
          <w:highlight w:val="yellow"/>
        </w:rPr>
        <w:t>evinud praktika</w:t>
      </w:r>
      <w:r w:rsidR="00FC3BFD">
        <w:rPr>
          <w:highlight w:val="yellow"/>
        </w:rPr>
        <w:t xml:space="preserve">, kuid seda tehes tuleks siiski arvesse võtta, et </w:t>
      </w:r>
      <w:r>
        <w:rPr>
          <w:highlight w:val="yellow"/>
        </w:rPr>
        <w:t xml:space="preserve">ohtlikud ained ja põlevmaterjal </w:t>
      </w:r>
      <w:r w:rsidR="009D435D">
        <w:rPr>
          <w:highlight w:val="yellow"/>
        </w:rPr>
        <w:t>ei sobi lähestikku ladustamiseks</w:t>
      </w:r>
      <w:r w:rsidR="0073437B" w:rsidRPr="0073437B">
        <w:rPr>
          <w:highlight w:val="yellow"/>
        </w:rPr>
        <w:t xml:space="preserve">. Kui ohutuma koha valik on näiteks krundi väiksuse tõttu keeruline, </w:t>
      </w:r>
      <w:r w:rsidR="001935FF">
        <w:rPr>
          <w:highlight w:val="yellow"/>
        </w:rPr>
        <w:t xml:space="preserve">tuleks </w:t>
      </w:r>
      <w:r w:rsidR="0073437B" w:rsidRPr="0073437B">
        <w:rPr>
          <w:highlight w:val="yellow"/>
        </w:rPr>
        <w:t>omalt poolt tagada pidev valve ja seire võimalike ohuolukordade koheseks märkamiseks ja neile reageerimiseks</w:t>
      </w:r>
      <w:r w:rsidR="005D0558">
        <w:rPr>
          <w:highlight w:val="yellow"/>
        </w:rPr>
        <w:t xml:space="preserve"> ning võimalikult sobiv taara või pakend ja piiratud kogused ladustamiseks</w:t>
      </w:r>
      <w:r w:rsidR="0073437B" w:rsidRPr="0073437B">
        <w:rPr>
          <w:highlight w:val="yellow"/>
        </w:rPr>
        <w:t>.</w:t>
      </w:r>
      <w:r w:rsidR="0073437B">
        <w:t xml:space="preserve"> </w:t>
      </w:r>
    </w:p>
    <w:p w14:paraId="697D0984" w14:textId="77777777" w:rsidR="005D011B" w:rsidRDefault="005D011B" w:rsidP="000D0219">
      <w:pPr>
        <w:pStyle w:val="NoSpacing"/>
        <w:jc w:val="both"/>
        <w:rPr>
          <w:b/>
          <w:bCs/>
          <w:color w:val="0070C0"/>
        </w:rPr>
      </w:pPr>
    </w:p>
    <w:p w14:paraId="17C07BE8" w14:textId="6B319DBB" w:rsidR="000D0219" w:rsidRDefault="000D0219" w:rsidP="000D0219">
      <w:pPr>
        <w:pStyle w:val="NoSpacing"/>
        <w:jc w:val="both"/>
      </w:pPr>
      <w:r w:rsidRPr="00240B71">
        <w:rPr>
          <w:b/>
          <w:bCs/>
          <w:color w:val="0070C0"/>
        </w:rPr>
        <w:t>Lõike 1</w:t>
      </w:r>
      <w:r w:rsidR="002D74C5">
        <w:rPr>
          <w:b/>
          <w:bCs/>
          <w:color w:val="0070C0"/>
        </w:rPr>
        <w:t>2</w:t>
      </w:r>
      <w:r w:rsidRPr="00240B71">
        <w:rPr>
          <w:color w:val="0070C0"/>
        </w:rPr>
        <w:t xml:space="preserve"> </w:t>
      </w:r>
      <w:r w:rsidRPr="00BB27DE">
        <w:t xml:space="preserve">kohaselt on lubatud </w:t>
      </w:r>
      <w:r w:rsidRPr="002D74C5">
        <w:rPr>
          <w:highlight w:val="yellow"/>
        </w:rPr>
        <w:t>eelnõu §-des 1</w:t>
      </w:r>
      <w:r w:rsidR="00235784">
        <w:rPr>
          <w:highlight w:val="yellow"/>
        </w:rPr>
        <w:t>0</w:t>
      </w:r>
      <w:r w:rsidRPr="002D74C5">
        <w:rPr>
          <w:highlight w:val="yellow"/>
        </w:rPr>
        <w:t>–1</w:t>
      </w:r>
      <w:r w:rsidR="00235784">
        <w:t>2</w:t>
      </w:r>
      <w:r w:rsidRPr="00BB27DE">
        <w:t xml:space="preserve"> sätestatud mi</w:t>
      </w:r>
      <w:r>
        <w:t>inimum</w:t>
      </w:r>
      <w:r w:rsidRPr="00BB27DE">
        <w:t>kuja ehitusprojektis vähendada</w:t>
      </w:r>
      <w:r>
        <w:t>, kui kasutatakse</w:t>
      </w:r>
      <w:r w:rsidRPr="00BB27DE">
        <w:t xml:space="preserve"> arvutuslik</w:t>
      </w:r>
      <w:r>
        <w:t>k</w:t>
      </w:r>
      <w:r w:rsidRPr="00BB27DE">
        <w:t>u tõendus</w:t>
      </w:r>
      <w:r>
        <w:t>t</w:t>
      </w:r>
      <w:r w:rsidRPr="00BB27DE">
        <w:t xml:space="preserve">, kaitseseina, </w:t>
      </w:r>
      <w:proofErr w:type="spellStart"/>
      <w:r>
        <w:t>kaitse</w:t>
      </w:r>
      <w:r w:rsidRPr="00BB27DE">
        <w:t>vallitis</w:t>
      </w:r>
      <w:r>
        <w:t>t</w:t>
      </w:r>
      <w:proofErr w:type="spellEnd"/>
      <w:r w:rsidRPr="00BB27DE">
        <w:t>, udusüsteemi, piserdussüsteemi või muu</w:t>
      </w:r>
      <w:r>
        <w:t>d</w:t>
      </w:r>
      <w:r w:rsidRPr="00BB27DE">
        <w:t xml:space="preserve"> </w:t>
      </w:r>
      <w:r>
        <w:t>samalaadset</w:t>
      </w:r>
      <w:r w:rsidRPr="00BB27DE">
        <w:t xml:space="preserve"> </w:t>
      </w:r>
      <w:r>
        <w:t>meetodit</w:t>
      </w:r>
      <w:r w:rsidRPr="00BB27DE">
        <w:t xml:space="preserve">. See tähendab, et kui soovitakse </w:t>
      </w:r>
      <w:r w:rsidRPr="009A10C6">
        <w:t>vähendada</w:t>
      </w:r>
      <w:r w:rsidRPr="00E75525">
        <w:t xml:space="preserve"> </w:t>
      </w:r>
      <w:r>
        <w:t>hoidla</w:t>
      </w:r>
      <w:r w:rsidRPr="00BB27DE">
        <w:t>, ammoniaagi</w:t>
      </w:r>
      <w:r>
        <w:t>rajatise</w:t>
      </w:r>
      <w:r w:rsidRPr="00BB27DE">
        <w:t xml:space="preserve"> või hapniku hoiukoha mi</w:t>
      </w:r>
      <w:r>
        <w:t>inimum</w:t>
      </w:r>
      <w:r w:rsidRPr="00BB27DE">
        <w:t xml:space="preserve">kuja </w:t>
      </w:r>
      <w:r>
        <w:t>teistest</w:t>
      </w:r>
      <w:r w:rsidRPr="00BB27DE">
        <w:t xml:space="preserve"> </w:t>
      </w:r>
      <w:r>
        <w:t>ehitistest</w:t>
      </w:r>
      <w:r w:rsidRPr="00BB27DE">
        <w:t>, tuleb ehitusprojektis näidata, millist riskide leevendamise meedet soovitakse kasutada. Ehitusprojekti koostamine on vajalik, et nii kohalik</w:t>
      </w:r>
      <w:r>
        <w:t>u</w:t>
      </w:r>
      <w:r w:rsidRPr="00BB27DE">
        <w:t xml:space="preserve"> omavalitsus</w:t>
      </w:r>
      <w:r>
        <w:t>e üksus</w:t>
      </w:r>
      <w:r w:rsidRPr="00BB27DE">
        <w:t xml:space="preserve"> kui </w:t>
      </w:r>
      <w:r>
        <w:t xml:space="preserve">ka </w:t>
      </w:r>
      <w:r w:rsidRPr="00BB27DE">
        <w:t>päästeasutus saaks</w:t>
      </w:r>
      <w:r>
        <w:t>id</w:t>
      </w:r>
      <w:r w:rsidRPr="00BB27DE">
        <w:t xml:space="preserve"> planeeritavast tegevusest teada ning annaks</w:t>
      </w:r>
      <w:r>
        <w:t>id</w:t>
      </w:r>
      <w:r w:rsidRPr="00BB27DE">
        <w:t xml:space="preserve"> kooskõlastuse ja soovitused. </w:t>
      </w:r>
      <w:r w:rsidRPr="00CE008C">
        <w:t>Üle 60 m</w:t>
      </w:r>
      <w:r w:rsidRPr="00CE008C">
        <w:rPr>
          <w:vertAlign w:val="superscript"/>
        </w:rPr>
        <w:t>2</w:t>
      </w:r>
      <w:r w:rsidRPr="00CE008C">
        <w:t xml:space="preserve"> ehitisealuse pinnaga hoidla rajamine, ümberehitamine või laiendamine on ehitusseadustiku lisa</w:t>
      </w:r>
      <w:r>
        <w:t> </w:t>
      </w:r>
      <w:r w:rsidRPr="00CE008C">
        <w:t xml:space="preserve">1 kohaselt ehitusloakohustuslik, mis omakorda tähendab ehitusprojekti koostamist ja selle kooskõlastamist asjaomaste asutustega. </w:t>
      </w:r>
      <w:r w:rsidRPr="002D74C5">
        <w:rPr>
          <w:highlight w:val="yellow"/>
        </w:rPr>
        <w:t xml:space="preserve">Seejuures võib </w:t>
      </w:r>
      <w:r w:rsidR="002D74C5" w:rsidRPr="002D74C5">
        <w:rPr>
          <w:highlight w:val="yellow"/>
        </w:rPr>
        <w:t>käesoleva lõike</w:t>
      </w:r>
      <w:r>
        <w:t xml:space="preserve"> </w:t>
      </w:r>
      <w:r w:rsidRPr="00CE008C">
        <w:t>alusel vähendada ka olemas</w:t>
      </w:r>
      <w:r>
        <w:softHyphen/>
      </w:r>
      <w:r w:rsidRPr="00CE008C">
        <w:t>oleva hoidla</w:t>
      </w:r>
      <w:r>
        <w:t>, ammoniaagirajatise ja hapniku hoiukoha</w:t>
      </w:r>
      <w:r w:rsidRPr="00CE008C">
        <w:t xml:space="preserve"> kuja, aga selleks tuleb</w:t>
      </w:r>
      <w:r>
        <w:t xml:space="preserve"> samuti</w:t>
      </w:r>
      <w:r w:rsidRPr="00CE008C">
        <w:t xml:space="preserve"> koostada ehitusprojekt, milles näidatakse võetavad meetmed.</w:t>
      </w:r>
    </w:p>
    <w:p w14:paraId="4E5E396A" w14:textId="77777777" w:rsidR="000D0219" w:rsidRDefault="000D0219" w:rsidP="000D0219">
      <w:pPr>
        <w:pStyle w:val="NoSpacing"/>
        <w:jc w:val="both"/>
      </w:pPr>
    </w:p>
    <w:p w14:paraId="0FCD71F3" w14:textId="406CC933" w:rsidR="000D0219" w:rsidRDefault="000D0219" w:rsidP="000D0219">
      <w:pPr>
        <w:pStyle w:val="NoSpacing"/>
        <w:jc w:val="both"/>
      </w:pPr>
      <w:r w:rsidRPr="008531B7">
        <w:rPr>
          <w:b/>
          <w:bCs/>
          <w:color w:val="0070C0"/>
          <w:highlight w:val="yellow"/>
        </w:rPr>
        <w:lastRenderedPageBreak/>
        <w:t>Lõike 1</w:t>
      </w:r>
      <w:r w:rsidR="002D74C5">
        <w:rPr>
          <w:b/>
          <w:bCs/>
          <w:color w:val="0070C0"/>
          <w:highlight w:val="yellow"/>
        </w:rPr>
        <w:t>3</w:t>
      </w:r>
      <w:r w:rsidRPr="008531B7">
        <w:rPr>
          <w:color w:val="0070C0"/>
          <w:highlight w:val="yellow"/>
        </w:rPr>
        <w:t xml:space="preserve"> </w:t>
      </w:r>
      <w:r w:rsidRPr="008531B7">
        <w:rPr>
          <w:highlight w:val="yellow"/>
        </w:rPr>
        <w:t xml:space="preserve">kohaselt peab </w:t>
      </w:r>
      <w:r w:rsidR="008531B7" w:rsidRPr="008531B7">
        <w:rPr>
          <w:highlight w:val="yellow"/>
        </w:rPr>
        <w:t>ohtliku aine ladustamisel tagama sobivate lekke piiramise ja neutraliseerimise vahendite olemasolu</w:t>
      </w:r>
      <w:r w:rsidRPr="008531B7">
        <w:rPr>
          <w:highlight w:val="yellow"/>
        </w:rPr>
        <w:t>.</w:t>
      </w:r>
      <w:r w:rsidRPr="00F56363">
        <w:t xml:space="preserve"> </w:t>
      </w:r>
      <w:r>
        <w:t>Võimaliku l</w:t>
      </w:r>
      <w:r w:rsidRPr="00F56363">
        <w:t>ekke eskaleerumise ja tagajärgede vähendamise</w:t>
      </w:r>
      <w:r>
        <w:t>ks</w:t>
      </w:r>
      <w:r w:rsidRPr="00F56363">
        <w:t xml:space="preserve"> pea</w:t>
      </w:r>
      <w:r>
        <w:t>b</w:t>
      </w:r>
      <w:r w:rsidRPr="00F56363">
        <w:t xml:space="preserve"> </w:t>
      </w:r>
      <w:r>
        <w:t>ohtliku aine</w:t>
      </w:r>
      <w:r w:rsidRPr="00F56363">
        <w:t xml:space="preserve"> käitleja kasut</w:t>
      </w:r>
      <w:r>
        <w:t>ama sobivaid piiramis-</w:t>
      </w:r>
      <w:r w:rsidRPr="00F56363">
        <w:t xml:space="preserve"> ja neutraliseerimis</w:t>
      </w:r>
      <w:r>
        <w:softHyphen/>
      </w:r>
      <w:r w:rsidRPr="00F56363">
        <w:t>vahend</w:t>
      </w:r>
      <w:r>
        <w:t>e</w:t>
      </w:r>
      <w:r w:rsidRPr="00F56363">
        <w:t xml:space="preserve">id. </w:t>
      </w:r>
      <w:r>
        <w:t>Need</w:t>
      </w:r>
      <w:r w:rsidRPr="00F56363">
        <w:t xml:space="preserve"> võivad olla absorbent, mittesüttiv imav materjal, poom, mat</w:t>
      </w:r>
      <w:r>
        <w:t>t</w:t>
      </w:r>
      <w:r w:rsidRPr="00F56363">
        <w:t xml:space="preserve"> jms. Oluline on veenduda, et vahendid oleksid sobilikud puutuma kokku lekkinud </w:t>
      </w:r>
      <w:r>
        <w:t>ohtliku ainega</w:t>
      </w:r>
      <w:r w:rsidRPr="00F56363">
        <w:t>. N</w:t>
      </w:r>
      <w:r>
        <w:t>äiteks</w:t>
      </w:r>
      <w:r w:rsidRPr="00F56363">
        <w:t xml:space="preserve"> </w:t>
      </w:r>
      <w:r>
        <w:t xml:space="preserve">on </w:t>
      </w:r>
      <w:r w:rsidRPr="00F56363">
        <w:t>lek</w:t>
      </w:r>
      <w:r>
        <w:t>k</w:t>
      </w:r>
      <w:r w:rsidRPr="00F56363">
        <w:t>e korral teatud juhtudel hea kasutada absorbeeriva materjalina</w:t>
      </w:r>
      <w:r w:rsidRPr="00136CF6">
        <w:t xml:space="preserve"> </w:t>
      </w:r>
      <w:r>
        <w:t>s</w:t>
      </w:r>
      <w:r w:rsidRPr="00F56363">
        <w:t>aepuru</w:t>
      </w:r>
      <w:r>
        <w:t>.</w:t>
      </w:r>
      <w:r w:rsidRPr="00F56363">
        <w:t xml:space="preserve"> </w:t>
      </w:r>
      <w:r>
        <w:t>Samas</w:t>
      </w:r>
      <w:r w:rsidRPr="00F56363">
        <w:t xml:space="preserve"> väävel</w:t>
      </w:r>
      <w:r>
        <w:softHyphen/>
      </w:r>
      <w:r w:rsidRPr="00F56363">
        <w:t>happe</w:t>
      </w:r>
      <w:r>
        <w:t>le,</w:t>
      </w:r>
      <w:r w:rsidRPr="00F56363">
        <w:t xml:space="preserve"> eriti tugeva ja kontsentreeritud aine korral</w:t>
      </w:r>
      <w:r>
        <w:t>,</w:t>
      </w:r>
      <w:r w:rsidRPr="00F56363">
        <w:t xml:space="preserve"> saepuru ei sobi</w:t>
      </w:r>
      <w:r>
        <w:t>, sest t</w:t>
      </w:r>
      <w:r w:rsidRPr="00F56363">
        <w:t xml:space="preserve">ekib süttimisoht. </w:t>
      </w:r>
      <w:r>
        <w:t>Et vältida o</w:t>
      </w:r>
      <w:r w:rsidRPr="00F56363">
        <w:t>hu eskaleer</w:t>
      </w:r>
      <w:r>
        <w:t>u</w:t>
      </w:r>
      <w:r w:rsidRPr="00F56363">
        <w:t>mis</w:t>
      </w:r>
      <w:r>
        <w:t>t</w:t>
      </w:r>
      <w:r w:rsidRPr="00F56363">
        <w:t xml:space="preserve"> </w:t>
      </w:r>
      <w:r>
        <w:t xml:space="preserve">ja ohtu minimeerida </w:t>
      </w:r>
      <w:r w:rsidRPr="00F56363">
        <w:t>peab olema võimaliku</w:t>
      </w:r>
      <w:r>
        <w:t xml:space="preserve"> lekkest tingitud</w:t>
      </w:r>
      <w:r w:rsidRPr="00F56363">
        <w:t xml:space="preserve"> reostuse piiramiseks vajalikus koguses </w:t>
      </w:r>
      <w:r>
        <w:t xml:space="preserve">ohtlikule ainele sobivat </w:t>
      </w:r>
      <w:r w:rsidRPr="00F56363">
        <w:t>absorbenti, näiteks turvast või muud suure mahutavuse ja imamisvõimega looduslikku või sünteetilist absorbenti.</w:t>
      </w:r>
      <w:r>
        <w:t xml:space="preserve"> P</w:t>
      </w:r>
      <w:r w:rsidRPr="006B6C44">
        <w:t>iiramis- ja neutraliseerimisvahendeid</w:t>
      </w:r>
      <w:r>
        <w:t xml:space="preserve"> tuleb soetada koguses, mis vastab ohu suurusele. See tuleb mõelda alati iga kord enne ladustamist</w:t>
      </w:r>
      <w:r w:rsidRPr="00136CF6">
        <w:t xml:space="preserve"> </w:t>
      </w:r>
      <w:r>
        <w:t>läbi.</w:t>
      </w:r>
    </w:p>
    <w:p w14:paraId="579933F8" w14:textId="77777777" w:rsidR="000D0219" w:rsidRDefault="000D0219" w:rsidP="000D0219">
      <w:pPr>
        <w:pStyle w:val="NoSpacing"/>
        <w:jc w:val="both"/>
      </w:pPr>
    </w:p>
    <w:p w14:paraId="2B6B8FE1" w14:textId="5B1D8727" w:rsidR="000D0219" w:rsidRPr="00B701C8" w:rsidRDefault="000D0219" w:rsidP="000D0219">
      <w:pPr>
        <w:pStyle w:val="NoSpacing"/>
        <w:jc w:val="both"/>
      </w:pPr>
      <w:r w:rsidRPr="00240B71">
        <w:rPr>
          <w:b/>
          <w:bCs/>
          <w:color w:val="0070C0"/>
        </w:rPr>
        <w:t>Lõike 1</w:t>
      </w:r>
      <w:r w:rsidR="002D74C5">
        <w:rPr>
          <w:b/>
          <w:bCs/>
          <w:color w:val="0070C0"/>
        </w:rPr>
        <w:t>4</w:t>
      </w:r>
      <w:r w:rsidRPr="00240B71">
        <w:rPr>
          <w:color w:val="0070C0"/>
        </w:rPr>
        <w:t xml:space="preserve"> </w:t>
      </w:r>
      <w:r w:rsidRPr="00BB27DE">
        <w:t>k</w:t>
      </w:r>
      <w:r>
        <w:t xml:space="preserve">ohaselt tuleb ohtliku aine ladustamise kohale lisada </w:t>
      </w:r>
      <w:r w:rsidRPr="005B23B9">
        <w:t>märgistus</w:t>
      </w:r>
      <w:r>
        <w:t xml:space="preserve"> sotsiaalministri 30. novembri 1999. aasta määruse nr 75 „Ohumärguannete kasutamise nõuded töökohas“ kohaselt.</w:t>
      </w:r>
      <w:r w:rsidRPr="00F56363">
        <w:t xml:space="preserve"> Selleks, et mõista</w:t>
      </w:r>
      <w:r>
        <w:t>,</w:t>
      </w:r>
      <w:r w:rsidRPr="00F56363">
        <w:t xml:space="preserve"> millised on </w:t>
      </w:r>
      <w:r>
        <w:t>ohtliku aine ladustamise koha</w:t>
      </w:r>
      <w:r w:rsidRPr="00F56363">
        <w:t xml:space="preserve"> ohud, on äärmiselt oluline lisada </w:t>
      </w:r>
      <w:r>
        <w:t>sellele</w:t>
      </w:r>
      <w:r w:rsidRPr="00F56363">
        <w:t xml:space="preserve"> </w:t>
      </w:r>
      <w:r w:rsidRPr="005B23B9">
        <w:t>märgistus</w:t>
      </w:r>
      <w:r w:rsidRPr="00F56363">
        <w:t>. Seeläbi on võimalik saada info</w:t>
      </w:r>
      <w:r>
        <w:t>t</w:t>
      </w:r>
      <w:r w:rsidRPr="00F56363">
        <w:t xml:space="preserve">, kas </w:t>
      </w:r>
      <w:r>
        <w:t>ladustatakse</w:t>
      </w:r>
      <w:r w:rsidRPr="00F56363">
        <w:t xml:space="preserve"> tule-, keskkonna- või terviseohtlik</w:t>
      </w:r>
      <w:r>
        <w:t>k</w:t>
      </w:r>
      <w:r w:rsidRPr="00F56363">
        <w:t xml:space="preserve">e </w:t>
      </w:r>
      <w:r>
        <w:t>aineid</w:t>
      </w:r>
      <w:r w:rsidRPr="00F56363">
        <w:t xml:space="preserve">. </w:t>
      </w:r>
      <w:r>
        <w:t>M</w:t>
      </w:r>
      <w:r w:rsidRPr="005B23B9">
        <w:t>ärgistus</w:t>
      </w:r>
      <w:r w:rsidRPr="00F56363">
        <w:t xml:space="preserve"> annab teavet võimaliku ohu ja selle liigi</w:t>
      </w:r>
      <w:r>
        <w:t xml:space="preserve"> kohta</w:t>
      </w:r>
      <w:r w:rsidRPr="00F56363">
        <w:t>.</w:t>
      </w:r>
    </w:p>
    <w:p w14:paraId="64DD94C9" w14:textId="77777777" w:rsidR="00CA3790" w:rsidRDefault="00CA3790" w:rsidP="00CA3790">
      <w:pPr>
        <w:pStyle w:val="NoSpacing"/>
        <w:jc w:val="both"/>
        <w:rPr>
          <w:highlight w:val="yellow"/>
        </w:rPr>
      </w:pPr>
    </w:p>
    <w:p w14:paraId="2EF0BF15" w14:textId="514DF9B3" w:rsidR="00CA3790" w:rsidRPr="0082499D" w:rsidRDefault="00CA3790" w:rsidP="00CA3790">
      <w:pPr>
        <w:pStyle w:val="NoSpacing"/>
        <w:jc w:val="both"/>
        <w:rPr>
          <w:highlight w:val="yellow"/>
        </w:rPr>
      </w:pPr>
      <w:r>
        <w:rPr>
          <w:highlight w:val="yellow"/>
        </w:rPr>
        <w:t>Eelnõu §-s 10</w:t>
      </w:r>
      <w:r w:rsidRPr="00C84242">
        <w:rPr>
          <w:highlight w:val="yellow"/>
        </w:rPr>
        <w:t xml:space="preserve"> ja järgnevates paragrahvides on määratud vajalikud kujad naftasaaduse, põlevkiviõli või selle saaduse või biokütuse hoidlatele ning ammoniaagirajatisele ja hapniku hoiukohale. Kehtivas õiguses on olemas vaid naftasaaduse, põlevkiviõli või selle saaduse või biokütuse hoidla kujad, ammoniaagirajatisele ja hapniku hoiukohale kehtiv </w:t>
      </w:r>
      <w:r w:rsidRPr="00C84242">
        <w:rPr>
          <w:highlight w:val="yellow"/>
        </w:rPr>
        <w:t xml:space="preserve">õigus </w:t>
      </w:r>
      <w:r w:rsidRPr="00C84242">
        <w:rPr>
          <w:highlight w:val="yellow"/>
        </w:rPr>
        <w:t>kujasid ette ei näe</w:t>
      </w:r>
      <w:r w:rsidRPr="00C84242">
        <w:rPr>
          <w:highlight w:val="yellow"/>
        </w:rPr>
        <w:t xml:space="preserve">. </w:t>
      </w:r>
      <w:r w:rsidR="005758DF" w:rsidRPr="0082499D">
        <w:rPr>
          <w:highlight w:val="yellow"/>
        </w:rPr>
        <w:t xml:space="preserve">Paragrahvides 10-12 toodud kujade tabelites tuleb kujasid lugeda nii, et kuni X meetrit on X meetrit </w:t>
      </w:r>
      <w:r w:rsidR="00C00568" w:rsidRPr="0082499D">
        <w:rPr>
          <w:highlight w:val="yellow"/>
        </w:rPr>
        <w:t>kuni täisarvuni</w:t>
      </w:r>
      <w:r w:rsidR="005758DF" w:rsidRPr="0082499D">
        <w:rPr>
          <w:highlight w:val="yellow"/>
        </w:rPr>
        <w:t xml:space="preserve">, X-Y meetrit on </w:t>
      </w:r>
      <w:r w:rsidR="00C00568" w:rsidRPr="0082499D">
        <w:rPr>
          <w:highlight w:val="yellow"/>
        </w:rPr>
        <w:t xml:space="preserve">vahemik </w:t>
      </w:r>
      <w:r w:rsidR="005758DF" w:rsidRPr="0082499D">
        <w:rPr>
          <w:highlight w:val="yellow"/>
        </w:rPr>
        <w:t>alates X</w:t>
      </w:r>
      <w:r w:rsidR="00C00568" w:rsidRPr="0082499D">
        <w:rPr>
          <w:highlight w:val="yellow"/>
        </w:rPr>
        <w:t xml:space="preserve"> täisarvu ületavat</w:t>
      </w:r>
      <w:r w:rsidR="005758DF" w:rsidRPr="0082499D">
        <w:rPr>
          <w:highlight w:val="yellow"/>
        </w:rPr>
        <w:t xml:space="preserve"> meetrit</w:t>
      </w:r>
      <w:r w:rsidR="00C00568" w:rsidRPr="0082499D">
        <w:rPr>
          <w:highlight w:val="yellow"/>
        </w:rPr>
        <w:t xml:space="preserve"> </w:t>
      </w:r>
      <w:r w:rsidR="005758DF" w:rsidRPr="0082499D">
        <w:rPr>
          <w:highlight w:val="yellow"/>
        </w:rPr>
        <w:t xml:space="preserve">kuni Y meetrit </w:t>
      </w:r>
      <w:r w:rsidR="00C00568" w:rsidRPr="0082499D">
        <w:rPr>
          <w:highlight w:val="yellow"/>
        </w:rPr>
        <w:t>täisarvuni</w:t>
      </w:r>
      <w:r w:rsidR="005758DF" w:rsidRPr="0082499D">
        <w:rPr>
          <w:highlight w:val="yellow"/>
        </w:rPr>
        <w:t xml:space="preserve"> jne. Selline lähenemine on lihtne ja hõlpsalt täidetav.</w:t>
      </w:r>
    </w:p>
    <w:p w14:paraId="587B7BF6" w14:textId="77777777" w:rsidR="000D0219" w:rsidRPr="00B701C8" w:rsidRDefault="000D0219" w:rsidP="000D0219">
      <w:pPr>
        <w:pStyle w:val="NoSpacing"/>
        <w:jc w:val="both"/>
        <w:rPr>
          <w:b/>
        </w:rPr>
      </w:pPr>
    </w:p>
    <w:p w14:paraId="6CCD226F" w14:textId="73FAEAEC" w:rsidR="00F451D4" w:rsidRDefault="00F451D4" w:rsidP="00F451D4">
      <w:pPr>
        <w:pStyle w:val="NoSpacing"/>
        <w:jc w:val="both"/>
      </w:pPr>
      <w:bookmarkStart w:id="21" w:name="_Toc149306202"/>
      <w:r w:rsidRPr="00BB27DE">
        <w:rPr>
          <w:rStyle w:val="Heading3Char"/>
        </w:rPr>
        <w:t>Eelnõu §-s 1</w:t>
      </w:r>
      <w:bookmarkEnd w:id="21"/>
      <w:r w:rsidR="00235784">
        <w:rPr>
          <w:rStyle w:val="Heading3Char"/>
        </w:rPr>
        <w:t>0</w:t>
      </w:r>
      <w:r w:rsidRPr="00B701C8">
        <w:t xml:space="preserve"> </w:t>
      </w:r>
      <w:r>
        <w:t>sätestatakse nõuded</w:t>
      </w:r>
      <w:r w:rsidR="006B1F57">
        <w:t xml:space="preserve"> naftasaaduse, põlevkiviõli ja selle saaduse ning biokütuse</w:t>
      </w:r>
      <w:r>
        <w:t xml:space="preserve"> </w:t>
      </w:r>
      <w:r w:rsidRPr="00EF2AE3">
        <w:t>hoidla kuja</w:t>
      </w:r>
      <w:r>
        <w:t>le.</w:t>
      </w:r>
      <w:r w:rsidR="00C009B0">
        <w:t xml:space="preserve"> </w:t>
      </w:r>
      <w:r w:rsidR="005758DF" w:rsidRPr="0082499D">
        <w:rPr>
          <w:highlight w:val="yellow"/>
        </w:rPr>
        <w:t>Naftasaaduseks loetakse määruse kohaselt naftast rafineerimise teel saadud kütuseid, põlevkiviõliks loetakse põlevkivist toodetud vedelkütust ning b</w:t>
      </w:r>
      <w:r w:rsidR="00C009B0" w:rsidRPr="0082499D">
        <w:rPr>
          <w:highlight w:val="yellow"/>
        </w:rPr>
        <w:t xml:space="preserve">iokütuse all </w:t>
      </w:r>
      <w:r w:rsidR="005758DF" w:rsidRPr="0082499D">
        <w:rPr>
          <w:highlight w:val="yellow"/>
        </w:rPr>
        <w:t>peetakse</w:t>
      </w:r>
      <w:r w:rsidR="00C009B0" w:rsidRPr="0082499D">
        <w:rPr>
          <w:highlight w:val="yellow"/>
        </w:rPr>
        <w:t xml:space="preserve"> </w:t>
      </w:r>
      <w:r w:rsidR="005758DF" w:rsidRPr="0082499D">
        <w:rPr>
          <w:highlight w:val="yellow"/>
        </w:rPr>
        <w:t xml:space="preserve">määruses silmas sisepõlemismootorites kasutatavat vedelkütust, mis on toodetud </w:t>
      </w:r>
      <w:proofErr w:type="spellStart"/>
      <w:r w:rsidR="005758DF" w:rsidRPr="0082499D">
        <w:rPr>
          <w:highlight w:val="yellow"/>
        </w:rPr>
        <w:t>biomassist</w:t>
      </w:r>
      <w:proofErr w:type="spellEnd"/>
      <w:r w:rsidR="005758DF" w:rsidRPr="0082499D">
        <w:rPr>
          <w:highlight w:val="yellow"/>
        </w:rPr>
        <w:t>.</w:t>
      </w:r>
    </w:p>
    <w:p w14:paraId="77E0B08B" w14:textId="77777777" w:rsidR="006B1F57" w:rsidRDefault="00C84242" w:rsidP="00C84242">
      <w:pPr>
        <w:pStyle w:val="NoSpacing"/>
        <w:jc w:val="both"/>
        <w:rPr>
          <w:highlight w:val="yellow"/>
        </w:rPr>
      </w:pPr>
      <w:r w:rsidRPr="00C84242">
        <w:rPr>
          <w:highlight w:val="yellow"/>
        </w:rPr>
        <w:t>Olemasolevate naftasaaduse, põlevkiviõli või selle saaduse või biokütuse hoidlate kujad on rangemad, kui eelnõuga kehtestada soovitakse, seda peamiselt selle tõttu, et hoidlad ise on hetkel jagatud liialt suurtesse klassidesse</w:t>
      </w:r>
      <w:r w:rsidR="00F063FB">
        <w:rPr>
          <w:highlight w:val="yellow"/>
        </w:rPr>
        <w:t xml:space="preserve"> ja kujad vastavalt neile samuti kohati </w:t>
      </w:r>
      <w:proofErr w:type="spellStart"/>
      <w:r w:rsidR="00F063FB">
        <w:rPr>
          <w:highlight w:val="yellow"/>
        </w:rPr>
        <w:t>üledimensioneeritud</w:t>
      </w:r>
      <w:proofErr w:type="spellEnd"/>
      <w:r w:rsidR="00F063FB">
        <w:rPr>
          <w:highlight w:val="yellow"/>
        </w:rPr>
        <w:t>. Nii kehtib praegu</w:t>
      </w:r>
      <w:r w:rsidR="006B1F57">
        <w:rPr>
          <w:highlight w:val="yellow"/>
        </w:rPr>
        <w:t>:</w:t>
      </w:r>
    </w:p>
    <w:p w14:paraId="476EB35B" w14:textId="09EFD6B4" w:rsidR="006B1F57" w:rsidRDefault="00F063FB" w:rsidP="006B1F57">
      <w:pPr>
        <w:pStyle w:val="NoSpacing"/>
        <w:numPr>
          <w:ilvl w:val="0"/>
          <w:numId w:val="25"/>
        </w:numPr>
        <w:jc w:val="both"/>
        <w:rPr>
          <w:highlight w:val="yellow"/>
        </w:rPr>
      </w:pPr>
      <w:r>
        <w:rPr>
          <w:highlight w:val="yellow"/>
        </w:rPr>
        <w:t>v</w:t>
      </w:r>
      <w:r w:rsidR="009D435D" w:rsidRPr="00C84242">
        <w:rPr>
          <w:highlight w:val="yellow"/>
        </w:rPr>
        <w:t>äikes</w:t>
      </w:r>
      <w:r w:rsidR="009D435D">
        <w:rPr>
          <w:highlight w:val="yellow"/>
        </w:rPr>
        <w:t>tele</w:t>
      </w:r>
      <w:r w:rsidR="009D435D" w:rsidRPr="00C84242">
        <w:rPr>
          <w:highlight w:val="yellow"/>
        </w:rPr>
        <w:t xml:space="preserve"> hoidla</w:t>
      </w:r>
      <w:r w:rsidR="009D435D">
        <w:rPr>
          <w:highlight w:val="yellow"/>
        </w:rPr>
        <w:t>tele</w:t>
      </w:r>
      <w:r w:rsidR="00C84242" w:rsidRPr="00C84242">
        <w:rPr>
          <w:highlight w:val="yellow"/>
        </w:rPr>
        <w:t xml:space="preserve">, mille maht on 3 </w:t>
      </w:r>
      <w:r w:rsidR="00992140">
        <w:rPr>
          <w:rFonts w:cs="Times New Roman"/>
          <w:highlight w:val="yellow"/>
        </w:rPr>
        <w:t>–</w:t>
      </w:r>
      <w:r w:rsidR="00C84242" w:rsidRPr="00C84242">
        <w:rPr>
          <w:highlight w:val="yellow"/>
        </w:rPr>
        <w:t>10 m³</w:t>
      </w:r>
      <w:r w:rsidR="001E177B">
        <w:rPr>
          <w:highlight w:val="yellow"/>
        </w:rPr>
        <w:t>,</w:t>
      </w:r>
      <w:r w:rsidR="009D435D">
        <w:rPr>
          <w:highlight w:val="yellow"/>
        </w:rPr>
        <w:t xml:space="preserve"> kuja</w:t>
      </w:r>
      <w:r w:rsidR="001E177B">
        <w:rPr>
          <w:highlight w:val="yellow"/>
        </w:rPr>
        <w:t>nõue vähemalt</w:t>
      </w:r>
      <w:r w:rsidR="009D435D">
        <w:rPr>
          <w:highlight w:val="yellow"/>
        </w:rPr>
        <w:t xml:space="preserve"> 25 m</w:t>
      </w:r>
      <w:r w:rsidR="00C84242" w:rsidRPr="00C84242">
        <w:rPr>
          <w:highlight w:val="yellow"/>
        </w:rPr>
        <w:t xml:space="preserve">; </w:t>
      </w:r>
    </w:p>
    <w:p w14:paraId="459D2284" w14:textId="4B49F0AD" w:rsidR="006B1F57" w:rsidRDefault="009D435D" w:rsidP="006B1F57">
      <w:pPr>
        <w:pStyle w:val="NoSpacing"/>
        <w:numPr>
          <w:ilvl w:val="0"/>
          <w:numId w:val="25"/>
        </w:numPr>
        <w:jc w:val="both"/>
        <w:rPr>
          <w:highlight w:val="yellow"/>
        </w:rPr>
      </w:pPr>
      <w:r w:rsidRPr="00C84242">
        <w:rPr>
          <w:highlight w:val="yellow"/>
        </w:rPr>
        <w:t>keskmis</w:t>
      </w:r>
      <w:r>
        <w:rPr>
          <w:highlight w:val="yellow"/>
        </w:rPr>
        <w:t>tele</w:t>
      </w:r>
      <w:r w:rsidRPr="00C84242">
        <w:rPr>
          <w:highlight w:val="yellow"/>
        </w:rPr>
        <w:t xml:space="preserve"> hoidla</w:t>
      </w:r>
      <w:r>
        <w:rPr>
          <w:highlight w:val="yellow"/>
        </w:rPr>
        <w:t>tele</w:t>
      </w:r>
      <w:r w:rsidR="00C84242" w:rsidRPr="00C84242">
        <w:rPr>
          <w:highlight w:val="yellow"/>
        </w:rPr>
        <w:t>, mille maht on 10</w:t>
      </w:r>
      <w:r w:rsidR="001E177B">
        <w:rPr>
          <w:highlight w:val="yellow"/>
        </w:rPr>
        <w:t>,1</w:t>
      </w:r>
      <w:r w:rsidR="00C84242" w:rsidRPr="00C84242">
        <w:rPr>
          <w:highlight w:val="yellow"/>
        </w:rPr>
        <w:t xml:space="preserve"> m³ </w:t>
      </w:r>
      <w:r w:rsidR="00CA3790">
        <w:rPr>
          <w:rFonts w:cs="Times New Roman"/>
          <w:highlight w:val="yellow"/>
        </w:rPr>
        <w:t>–</w:t>
      </w:r>
      <w:r w:rsidR="00C84242" w:rsidRPr="00C84242">
        <w:rPr>
          <w:highlight w:val="yellow"/>
        </w:rPr>
        <w:t>5000 m³</w:t>
      </w:r>
      <w:r w:rsidR="001E177B">
        <w:rPr>
          <w:highlight w:val="yellow"/>
        </w:rPr>
        <w:t>,</w:t>
      </w:r>
      <w:r w:rsidR="00C84242" w:rsidRPr="00C84242">
        <w:rPr>
          <w:highlight w:val="yellow"/>
        </w:rPr>
        <w:t xml:space="preserve"> </w:t>
      </w:r>
      <w:r>
        <w:rPr>
          <w:highlight w:val="yellow"/>
        </w:rPr>
        <w:t>kuja</w:t>
      </w:r>
      <w:r w:rsidR="001E177B">
        <w:rPr>
          <w:highlight w:val="yellow"/>
        </w:rPr>
        <w:t>nõue vähemalt</w:t>
      </w:r>
      <w:r>
        <w:rPr>
          <w:highlight w:val="yellow"/>
        </w:rPr>
        <w:t xml:space="preserve"> 50 m</w:t>
      </w:r>
      <w:r w:rsidR="00992140">
        <w:rPr>
          <w:highlight w:val="yellow"/>
        </w:rPr>
        <w:t xml:space="preserve"> </w:t>
      </w:r>
      <w:r w:rsidR="00F063FB" w:rsidRPr="006B1F57">
        <w:rPr>
          <w:highlight w:val="yellow"/>
        </w:rPr>
        <w:t>kuni 1000m</w:t>
      </w:r>
      <w:r w:rsidR="00F063FB" w:rsidRPr="006B1F57">
        <w:rPr>
          <w:highlight w:val="yellow"/>
          <w:vertAlign w:val="superscript"/>
        </w:rPr>
        <w:t>3</w:t>
      </w:r>
      <w:r w:rsidR="00F063FB" w:rsidRPr="006B1F57">
        <w:rPr>
          <w:highlight w:val="yellow"/>
        </w:rPr>
        <w:t xml:space="preserve"> </w:t>
      </w:r>
      <w:r w:rsidR="006C4E52">
        <w:rPr>
          <w:highlight w:val="yellow"/>
        </w:rPr>
        <w:t xml:space="preserve">hoidla puhul ja vähemalt </w:t>
      </w:r>
      <w:r w:rsidR="00F063FB" w:rsidRPr="006B1F57">
        <w:rPr>
          <w:highlight w:val="yellow"/>
        </w:rPr>
        <w:t>100 m üle 1000 m</w:t>
      </w:r>
      <w:r w:rsidR="00F063FB" w:rsidRPr="006B1F57">
        <w:rPr>
          <w:highlight w:val="yellow"/>
          <w:vertAlign w:val="superscript"/>
        </w:rPr>
        <w:t>3</w:t>
      </w:r>
      <w:r w:rsidR="006C4E52">
        <w:rPr>
          <w:highlight w:val="yellow"/>
          <w:vertAlign w:val="superscript"/>
        </w:rPr>
        <w:t xml:space="preserve"> </w:t>
      </w:r>
      <w:r w:rsidR="006C4E52">
        <w:rPr>
          <w:highlight w:val="yellow"/>
        </w:rPr>
        <w:t>hoidla puhul</w:t>
      </w:r>
      <w:r w:rsidR="006B1F57">
        <w:rPr>
          <w:highlight w:val="yellow"/>
        </w:rPr>
        <w:t>;</w:t>
      </w:r>
    </w:p>
    <w:p w14:paraId="74740433" w14:textId="02CEABB2" w:rsidR="00992140" w:rsidRDefault="009D435D" w:rsidP="006B1F57">
      <w:pPr>
        <w:pStyle w:val="NoSpacing"/>
        <w:numPr>
          <w:ilvl w:val="0"/>
          <w:numId w:val="25"/>
        </w:numPr>
        <w:jc w:val="both"/>
        <w:rPr>
          <w:highlight w:val="yellow"/>
        </w:rPr>
      </w:pPr>
      <w:r w:rsidRPr="006B1F57">
        <w:rPr>
          <w:highlight w:val="yellow"/>
        </w:rPr>
        <w:t>suurtele hoidlatele</w:t>
      </w:r>
      <w:r w:rsidR="00C84242" w:rsidRPr="006B1F57">
        <w:rPr>
          <w:highlight w:val="yellow"/>
        </w:rPr>
        <w:t>, mille maht on üle 5000 m³</w:t>
      </w:r>
      <w:r w:rsidR="006C4E52">
        <w:rPr>
          <w:highlight w:val="yellow"/>
        </w:rPr>
        <w:t>, kujanõue vähemalt</w:t>
      </w:r>
      <w:r w:rsidRPr="006B1F57">
        <w:rPr>
          <w:highlight w:val="yellow"/>
        </w:rPr>
        <w:t xml:space="preserve"> 150 m</w:t>
      </w:r>
      <w:r w:rsidR="00C84242" w:rsidRPr="006B1F57">
        <w:rPr>
          <w:highlight w:val="yellow"/>
        </w:rPr>
        <w:t xml:space="preserve">. </w:t>
      </w:r>
    </w:p>
    <w:p w14:paraId="00D1F177" w14:textId="21D20134" w:rsidR="00F063FB" w:rsidRPr="00992140" w:rsidRDefault="00C84242" w:rsidP="00992140">
      <w:pPr>
        <w:pStyle w:val="NoSpacing"/>
        <w:jc w:val="both"/>
        <w:rPr>
          <w:highlight w:val="yellow"/>
        </w:rPr>
      </w:pPr>
      <w:r w:rsidRPr="00992140">
        <w:rPr>
          <w:highlight w:val="yellow"/>
        </w:rPr>
        <w:t>Eelnõuga nähakse ette</w:t>
      </w:r>
      <w:r w:rsidR="00F063FB" w:rsidRPr="00992140">
        <w:rPr>
          <w:highlight w:val="yellow"/>
        </w:rPr>
        <w:t xml:space="preserve"> </w:t>
      </w:r>
      <w:r w:rsidRPr="00992140">
        <w:rPr>
          <w:highlight w:val="yellow"/>
        </w:rPr>
        <w:t>mahutitele erinevad kujad</w:t>
      </w:r>
      <w:r w:rsidR="00F063FB" w:rsidRPr="00992140">
        <w:rPr>
          <w:highlight w:val="yellow"/>
        </w:rPr>
        <w:t xml:space="preserve"> arvestades hoidla suurust</w:t>
      </w:r>
      <w:r w:rsidRPr="00992140">
        <w:rPr>
          <w:highlight w:val="yellow"/>
        </w:rPr>
        <w:t>. Kujade kehtestamisel võeti aluseks Rootsi ja Soome samasisulised nõuded</w:t>
      </w:r>
      <w:r w:rsidR="00F063FB" w:rsidRPr="00992140">
        <w:rPr>
          <w:highlight w:val="yellow"/>
        </w:rPr>
        <w:t xml:space="preserve"> (vt seletuskirja lisa 2).</w:t>
      </w:r>
    </w:p>
    <w:p w14:paraId="2141467C" w14:textId="77777777" w:rsidR="00235784" w:rsidRDefault="00235784" w:rsidP="00F451D4">
      <w:pPr>
        <w:pStyle w:val="NoSpacing"/>
        <w:jc w:val="both"/>
        <w:rPr>
          <w:b/>
          <w:bCs/>
          <w:color w:val="0070C0"/>
        </w:rPr>
      </w:pPr>
    </w:p>
    <w:p w14:paraId="2B55FB34" w14:textId="77777777" w:rsidR="005758DF" w:rsidRDefault="00F451D4" w:rsidP="00F451D4">
      <w:pPr>
        <w:pStyle w:val="NoSpacing"/>
        <w:jc w:val="both"/>
      </w:pPr>
      <w:r w:rsidRPr="00240B71">
        <w:rPr>
          <w:b/>
          <w:bCs/>
          <w:color w:val="0070C0"/>
        </w:rPr>
        <w:t>Lõikes 1</w:t>
      </w:r>
      <w:r w:rsidRPr="00240B71">
        <w:rPr>
          <w:color w:val="0070C0"/>
        </w:rPr>
        <w:t xml:space="preserve"> </w:t>
      </w:r>
      <w:r w:rsidRPr="00BB27DE">
        <w:t xml:space="preserve">esitatakse </w:t>
      </w:r>
      <w:r w:rsidRPr="00C11241">
        <w:t>tabel</w:t>
      </w:r>
      <w:r>
        <w:t xml:space="preserve"> hoidla </w:t>
      </w:r>
      <w:r w:rsidRPr="00C11241">
        <w:t xml:space="preserve">kuja kohta, mis peab sõltuvalt hoidla tüübist ja mahust olema erinev. Nii on näiteks maa-aluse mahuti puhul kuja väiksem, kuna maapind vähendab ohtu. </w:t>
      </w:r>
      <w:r>
        <w:t>P</w:t>
      </w:r>
      <w:r w:rsidRPr="00C90448">
        <w:t xml:space="preserve">aragrahvis </w:t>
      </w:r>
      <w:r>
        <w:t xml:space="preserve">– </w:t>
      </w:r>
      <w:r w:rsidRPr="00B85AB8">
        <w:rPr>
          <w:highlight w:val="yellow"/>
        </w:rPr>
        <w:t>nagu ka §-des 1</w:t>
      </w:r>
      <w:r w:rsidR="00235784">
        <w:rPr>
          <w:highlight w:val="yellow"/>
        </w:rPr>
        <w:t>1</w:t>
      </w:r>
      <w:r w:rsidRPr="00B85AB8">
        <w:rPr>
          <w:highlight w:val="yellow"/>
        </w:rPr>
        <w:t xml:space="preserve"> ja 1</w:t>
      </w:r>
      <w:r w:rsidR="00235784">
        <w:t>2</w:t>
      </w:r>
      <w:r w:rsidRPr="00C90448">
        <w:t xml:space="preserve"> </w:t>
      </w:r>
      <w:r>
        <w:t xml:space="preserve">– </w:t>
      </w:r>
      <w:r w:rsidRPr="00C90448">
        <w:t xml:space="preserve">on lähtutud põhimõttest, et hoidla mahutavus on võrdsustatud </w:t>
      </w:r>
      <w:r>
        <w:t xml:space="preserve">võimaliku </w:t>
      </w:r>
      <w:r w:rsidRPr="00C90448">
        <w:t>ohtliku aine kogusega</w:t>
      </w:r>
      <w:r>
        <w:t>, mida ladustatakse</w:t>
      </w:r>
      <w:r w:rsidRPr="00C11241">
        <w:t xml:space="preserve"> </w:t>
      </w:r>
      <w:r w:rsidRPr="0023471F">
        <w:t>hoidla</w:t>
      </w:r>
      <w:r>
        <w:t>s tervikuna</w:t>
      </w:r>
      <w:r w:rsidRPr="00C90448">
        <w:t>. Sealjuures ei ole oluline, kas hoidla koosneb ühest mahutist või kümnest. Samas on mitme mahuti puhul ka hoidla sees vajalik järgida mahutite vahemaid, et minimeerida võimaliku tulekahju korral tule leviku võimalust.</w:t>
      </w:r>
      <w:r>
        <w:t xml:space="preserve"> </w:t>
      </w:r>
      <w:r w:rsidRPr="00EE7AC7">
        <w:t xml:space="preserve">Juhul, kui hoidla mahutavus jääb lõikes määratud mahutavusvahemike piiri peale, peab tagama miinimumkuja väiksema vahemiku järgi. Näiteks, kui hoidla </w:t>
      </w:r>
      <w:r w:rsidRPr="00EE7AC7">
        <w:lastRenderedPageBreak/>
        <w:t>mahutavus on täpselt 100 kuupmeetrit, on maapealse mahuti miinimumkuja 30 meetrit ning maa-aluse ja maapinnaga kaetud mahuti oma 15 meetrit.</w:t>
      </w:r>
      <w:r w:rsidR="00047F1F">
        <w:t xml:space="preserve"> </w:t>
      </w:r>
    </w:p>
    <w:p w14:paraId="6ADD6BEE" w14:textId="77777777" w:rsidR="0082499D" w:rsidRDefault="0082499D" w:rsidP="00F451D4">
      <w:pPr>
        <w:pStyle w:val="NoSpacing"/>
        <w:jc w:val="both"/>
      </w:pPr>
    </w:p>
    <w:p w14:paraId="4E131C46" w14:textId="0A01F544" w:rsidR="00F451D4" w:rsidRDefault="00F451D4" w:rsidP="00F451D4">
      <w:pPr>
        <w:pStyle w:val="NoSpacing"/>
        <w:jc w:val="both"/>
      </w:pPr>
      <w:r w:rsidRPr="002C47AA">
        <w:rPr>
          <w:b/>
          <w:bCs/>
          <w:color w:val="0070C0"/>
        </w:rPr>
        <w:t>Lõike 2</w:t>
      </w:r>
      <w:r w:rsidRPr="00240B71">
        <w:rPr>
          <w:color w:val="0070C0"/>
        </w:rPr>
        <w:t xml:space="preserve"> </w:t>
      </w:r>
      <w:r>
        <w:t xml:space="preserve">kohaselt on hoidla kuja eelnõu tähenduses hoidla mahuti välispinna või selle täitmis- või tühjendusava kõige väiksem lubatud </w:t>
      </w:r>
      <w:r w:rsidRPr="008D1ABE">
        <w:rPr>
          <w:highlight w:val="yellow"/>
        </w:rPr>
        <w:t xml:space="preserve">kaugus </w:t>
      </w:r>
      <w:r w:rsidR="002C47AA" w:rsidRPr="008D1ABE">
        <w:rPr>
          <w:highlight w:val="yellow"/>
        </w:rPr>
        <w:t xml:space="preserve">suurõnnetuse ohuga ettevõttest, ohtlikust ettevõttest, </w:t>
      </w:r>
      <w:r w:rsidR="008D1ABE" w:rsidRPr="008D1ABE">
        <w:rPr>
          <w:highlight w:val="yellow"/>
        </w:rPr>
        <w:t xml:space="preserve">suure </w:t>
      </w:r>
      <w:r w:rsidR="005D011B">
        <w:rPr>
          <w:highlight w:val="yellow"/>
        </w:rPr>
        <w:t>liiklustihedusega</w:t>
      </w:r>
      <w:r w:rsidR="005D011B" w:rsidRPr="008D1ABE">
        <w:rPr>
          <w:highlight w:val="yellow"/>
        </w:rPr>
        <w:t xml:space="preserve"> </w:t>
      </w:r>
      <w:r w:rsidR="008D1ABE" w:rsidRPr="008D1ABE">
        <w:rPr>
          <w:highlight w:val="yellow"/>
        </w:rPr>
        <w:t>sõiduteest, elamust, raviasutusest, majutusasutusest, haridusasutusest, kogunemishoonest või muust samalaadsest hoidla tegevusega mitteseotud hoonest</w:t>
      </w:r>
      <w:r w:rsidRPr="008D1ABE">
        <w:rPr>
          <w:highlight w:val="yellow"/>
        </w:rPr>
        <w:t xml:space="preserve">. Teisisõnu on hoidla kuja kõige väiksem lubatud kaugus hoidla mahuti välispinna või selle täitmis- või tühjendusava ja KemS-i kohase suurõnnetuse ohuga ettevõtte või ohtliku ettevõtte ehitiste või muude ehitiste </w:t>
      </w:r>
      <w:r w:rsidRPr="002D74C5">
        <w:rPr>
          <w:highlight w:val="yellow"/>
        </w:rPr>
        <w:t>vahel</w:t>
      </w:r>
      <w:r w:rsidR="00992140">
        <w:rPr>
          <w:highlight w:val="yellow"/>
        </w:rPr>
        <w:t>,</w:t>
      </w:r>
      <w:r w:rsidR="008D1ABE" w:rsidRPr="002D74C5">
        <w:rPr>
          <w:highlight w:val="yellow"/>
        </w:rPr>
        <w:t xml:space="preserve"> eesmärgiga </w:t>
      </w:r>
      <w:r w:rsidR="008D1ABE" w:rsidRPr="008D1ABE">
        <w:rPr>
          <w:highlight w:val="yellow"/>
        </w:rPr>
        <w:t>vältida mistahes õnnetuste korral raskeid tagajärgi</w:t>
      </w:r>
      <w:r w:rsidR="008D1ABE" w:rsidRPr="002D74C5">
        <w:rPr>
          <w:highlight w:val="yellow"/>
        </w:rPr>
        <w:t>.</w:t>
      </w:r>
      <w:r w:rsidR="002D74C5" w:rsidRPr="002D74C5">
        <w:rPr>
          <w:highlight w:val="yellow"/>
        </w:rPr>
        <w:t xml:space="preserve"> Suure </w:t>
      </w:r>
      <w:r w:rsidR="005D011B">
        <w:rPr>
          <w:highlight w:val="yellow"/>
        </w:rPr>
        <w:t xml:space="preserve">liiklustihedusega </w:t>
      </w:r>
      <w:r w:rsidR="002D74C5" w:rsidRPr="002D74C5">
        <w:rPr>
          <w:highlight w:val="yellow"/>
        </w:rPr>
        <w:t>sõidutee all peetakse silmas eelkõige liiklusmagistraale ja suure liikluskoormusega linnatänavaid, nendeks ei loeta kvartali siseseid teid või väikesi kõrvalteid, kus liikluskoormus ei ole kõrge.</w:t>
      </w:r>
      <w:r w:rsidR="002D74C5">
        <w:t xml:space="preserve"> </w:t>
      </w:r>
    </w:p>
    <w:p w14:paraId="4E308F08" w14:textId="77777777" w:rsidR="00F451D4" w:rsidRDefault="00F451D4" w:rsidP="00F451D4">
      <w:pPr>
        <w:pStyle w:val="NoSpacing"/>
        <w:jc w:val="both"/>
      </w:pPr>
    </w:p>
    <w:p w14:paraId="757F7FE1" w14:textId="6E59A1E4" w:rsidR="00F451D4" w:rsidRDefault="00F451D4" w:rsidP="00B660D5">
      <w:pPr>
        <w:autoSpaceDE w:val="0"/>
        <w:autoSpaceDN w:val="0"/>
        <w:adjustRightInd w:val="0"/>
        <w:jc w:val="both"/>
        <w:rPr>
          <w:color w:val="000000"/>
        </w:rPr>
      </w:pPr>
      <w:r w:rsidRPr="00240B71">
        <w:rPr>
          <w:b/>
          <w:bCs/>
          <w:color w:val="0070C0"/>
        </w:rPr>
        <w:t>Lõike 3</w:t>
      </w:r>
      <w:r w:rsidRPr="00240B71">
        <w:rPr>
          <w:color w:val="0070C0"/>
        </w:rPr>
        <w:t xml:space="preserve"> </w:t>
      </w:r>
      <w:r w:rsidRPr="00BB27DE">
        <w:t>k</w:t>
      </w:r>
      <w:r w:rsidRPr="00324A67">
        <w:t>ohaselt</w:t>
      </w:r>
      <w:r>
        <w:t xml:space="preserve"> määratakse üle 500 m</w:t>
      </w:r>
      <w:r w:rsidRPr="00321B4B">
        <w:rPr>
          <w:vertAlign w:val="superscript"/>
        </w:rPr>
        <w:t>3</w:t>
      </w:r>
      <w:r>
        <w:t xml:space="preserve"> mahutavusega hoidla kuja ehitusprojektis </w:t>
      </w:r>
      <w:r w:rsidRPr="001163C2">
        <w:t>igal üksikjuhul</w:t>
      </w:r>
      <w:r>
        <w:t xml:space="preserve"> eraldi </w:t>
      </w:r>
      <w:r w:rsidR="00C85921" w:rsidRPr="00C85921">
        <w:rPr>
          <w:highlight w:val="yellow"/>
        </w:rPr>
        <w:t>riskide hindamise</w:t>
      </w:r>
      <w:r>
        <w:t xml:space="preserve"> põhjal, kuid see ei tohi olla väiksem kui kuni 40 meetrit maapealse või kuni 20 meetrit maa-aluse ja </w:t>
      </w:r>
      <w:r>
        <w:t>maapinnaga kaetud mahuti puhul.</w:t>
      </w:r>
      <w:r w:rsidR="003220DA">
        <w:t xml:space="preserve"> </w:t>
      </w:r>
      <w:r w:rsidR="00B660D5" w:rsidRPr="00B660D5">
        <w:rPr>
          <w:color w:val="000000"/>
          <w:highlight w:val="yellow"/>
        </w:rPr>
        <w:t>Riskide hindamise puhul ei ole tegemist KemS-i alusel koostatava riskianalüüsiga, vaid kohandatud sobilikuks planeeringu või ehitusprojekti faasis tehtava riskide hindamisega</w:t>
      </w:r>
      <w:r w:rsidR="00CB4B8E">
        <w:rPr>
          <w:color w:val="000000"/>
          <w:highlight w:val="yellow"/>
        </w:rPr>
        <w:t>, mida peaks tegema kõik, kelle kavandatav hoidla on suurem kui 500 m</w:t>
      </w:r>
      <w:r w:rsidR="00CB4B8E" w:rsidRPr="00CB4B8E">
        <w:rPr>
          <w:color w:val="000000"/>
          <w:highlight w:val="yellow"/>
          <w:vertAlign w:val="superscript"/>
        </w:rPr>
        <w:t>3</w:t>
      </w:r>
      <w:r w:rsidR="00B660D5" w:rsidRPr="00B660D5">
        <w:rPr>
          <w:color w:val="000000"/>
          <w:highlight w:val="yellow"/>
        </w:rPr>
        <w:t xml:space="preserve">. Riskide hindamised peavad olema planeeringu avalikustamise juures, mis võivad olla osa ka </w:t>
      </w:r>
      <w:r w:rsidR="008D1ABE">
        <w:rPr>
          <w:color w:val="000000"/>
          <w:highlight w:val="yellow"/>
        </w:rPr>
        <w:t>keskkonnamõjude strateegilisest hindamisest või keskkonnamõjude hindamisest</w:t>
      </w:r>
      <w:r w:rsidR="00B660D5" w:rsidRPr="00B660D5">
        <w:rPr>
          <w:color w:val="000000"/>
          <w:highlight w:val="yellow"/>
        </w:rPr>
        <w:t xml:space="preserve">. Juhul, kui riskide hindamine on jäänud planeeringu raames tegemata, tuleb see teha ehitusprojekti raames ning see tuleb kajastada ära ehitusprojekti eriosas. </w:t>
      </w:r>
      <w:r w:rsidR="00F063FB">
        <w:rPr>
          <w:color w:val="000000"/>
          <w:highlight w:val="yellow"/>
        </w:rPr>
        <w:t>Näiteks s</w:t>
      </w:r>
      <w:r w:rsidR="009D435D">
        <w:rPr>
          <w:color w:val="000000"/>
          <w:highlight w:val="yellow"/>
        </w:rPr>
        <w:t>uurõnnetuse ohuga ja ohtlike ettevõtete kohta saab t</w:t>
      </w:r>
      <w:r w:rsidR="00B660D5" w:rsidRPr="00B660D5">
        <w:rPr>
          <w:color w:val="000000"/>
          <w:highlight w:val="yellow"/>
        </w:rPr>
        <w:t>äpsemalt lugeda</w:t>
      </w:r>
      <w:r w:rsidR="00992140">
        <w:rPr>
          <w:color w:val="000000"/>
          <w:highlight w:val="yellow"/>
        </w:rPr>
        <w:t xml:space="preserve"> </w:t>
      </w:r>
      <w:hyperlink r:id="rId21" w:history="1">
        <w:r w:rsidR="00992140" w:rsidRPr="00992140">
          <w:rPr>
            <w:rStyle w:val="Hyperlink"/>
            <w:highlight w:val="yellow"/>
          </w:rPr>
          <w:t>Päästeameti koostatud juhendist</w:t>
        </w:r>
      </w:hyperlink>
      <w:r w:rsidR="001F0D2D">
        <w:rPr>
          <w:rStyle w:val="Hyperlink"/>
          <w:highlight w:val="yellow"/>
        </w:rPr>
        <w:t>, millest võivad juhinduda ka kõik teised ettevõtjad</w:t>
      </w:r>
      <w:r w:rsidR="00992140">
        <w:rPr>
          <w:color w:val="000000"/>
          <w:highlight w:val="yellow"/>
        </w:rPr>
        <w:t xml:space="preserve">. </w:t>
      </w:r>
      <w:r w:rsidR="00B660D5" w:rsidRPr="00B660D5">
        <w:rPr>
          <w:color w:val="000000"/>
          <w:highlight w:val="yellow"/>
        </w:rPr>
        <w:t>Riskide hindamine on objekti tehnoloogilise protsessi ja käideldavate ohtlike ainetega arvestav dokument, milles uuritakse võimalike õnnetuste liike, nende tekkepõhjuseid, asukohti ning õnnetuse toimumisel tekkivate tagajärgede ulatusi</w:t>
      </w:r>
      <w:r w:rsidR="00B660D5" w:rsidRPr="002D74C5">
        <w:rPr>
          <w:color w:val="000000"/>
          <w:highlight w:val="yellow"/>
        </w:rPr>
        <w:t>.</w:t>
      </w:r>
      <w:r w:rsidR="002C2838" w:rsidRPr="002D74C5">
        <w:rPr>
          <w:color w:val="000000"/>
          <w:highlight w:val="yellow"/>
        </w:rPr>
        <w:t xml:space="preserve"> Olemuselt </w:t>
      </w:r>
      <w:r w:rsidR="002C2838" w:rsidRPr="002C2838">
        <w:rPr>
          <w:color w:val="000000"/>
          <w:highlight w:val="yellow"/>
        </w:rPr>
        <w:t xml:space="preserve">ei ole selline tegevus </w:t>
      </w:r>
      <w:r w:rsidR="002C2838" w:rsidRPr="002C2838">
        <w:rPr>
          <w:color w:val="000000"/>
          <w:highlight w:val="yellow"/>
        </w:rPr>
        <w:t>uus, kuid seda ei ole pruugitud nimetada selliselt, planeerimise</w:t>
      </w:r>
      <w:r w:rsidR="009D435D">
        <w:rPr>
          <w:color w:val="000000"/>
          <w:highlight w:val="yellow"/>
        </w:rPr>
        <w:t xml:space="preserve"> ja projekteerimise</w:t>
      </w:r>
      <w:r w:rsidR="002C2838" w:rsidRPr="002C2838">
        <w:rPr>
          <w:color w:val="000000"/>
          <w:highlight w:val="yellow"/>
        </w:rPr>
        <w:t>ga koos otsitakse alati riske vähendavaid meetmeid ja samuti ohutuimat kohta rajatisele.</w:t>
      </w:r>
      <w:r w:rsidR="002C2838">
        <w:rPr>
          <w:color w:val="000000"/>
        </w:rPr>
        <w:t xml:space="preserve"> </w:t>
      </w:r>
    </w:p>
    <w:p w14:paraId="4E0CC719" w14:textId="77777777" w:rsidR="00B660D5" w:rsidRDefault="00B660D5" w:rsidP="00B660D5">
      <w:pPr>
        <w:autoSpaceDE w:val="0"/>
        <w:autoSpaceDN w:val="0"/>
        <w:adjustRightInd w:val="0"/>
        <w:jc w:val="both"/>
      </w:pPr>
    </w:p>
    <w:p w14:paraId="3759E3C8" w14:textId="6A8ECC04" w:rsidR="00F451D4" w:rsidRDefault="00F451D4" w:rsidP="00F451D4">
      <w:pPr>
        <w:pStyle w:val="NoSpacing"/>
        <w:jc w:val="both"/>
      </w:pPr>
      <w:r w:rsidRPr="00240B71">
        <w:rPr>
          <w:b/>
          <w:bCs/>
          <w:color w:val="0070C0"/>
        </w:rPr>
        <w:t>Lõike 4</w:t>
      </w:r>
      <w:r w:rsidRPr="00C90448">
        <w:t xml:space="preserve"> </w:t>
      </w:r>
      <w:r>
        <w:t xml:space="preserve">kohaselt on üldjuhul hoidla kujas keelatud tegevus, mis ei ole seotud hoidla kasutamisega. Samas on </w:t>
      </w:r>
      <w:r>
        <w:t>hooldus- ja remonditööd, näiteks niitmine, sobiliku tööriistaga hoidla mahuti ümber ja peal lubatud</w:t>
      </w:r>
      <w:r w:rsidR="00E673F6">
        <w:t xml:space="preserve">, </w:t>
      </w:r>
      <w:r w:rsidR="00E673F6" w:rsidRPr="0082499D">
        <w:rPr>
          <w:highlight w:val="yellow"/>
        </w:rPr>
        <w:t>sest käitleja kohustus on tagada hoidla heakord ja ohutus</w:t>
      </w:r>
      <w:r w:rsidRPr="0082499D">
        <w:rPr>
          <w:highlight w:val="yellow"/>
        </w:rPr>
        <w:t>.</w:t>
      </w:r>
    </w:p>
    <w:p w14:paraId="0E84520A" w14:textId="77777777" w:rsidR="00F451D4" w:rsidRDefault="00F451D4" w:rsidP="00F451D4">
      <w:pPr>
        <w:pStyle w:val="NoSpacing"/>
        <w:jc w:val="both"/>
      </w:pPr>
    </w:p>
    <w:p w14:paraId="054C1012" w14:textId="6CF6EBFD" w:rsidR="00F451D4" w:rsidRDefault="00F451D4" w:rsidP="00F451D4">
      <w:pPr>
        <w:pStyle w:val="NoSpacing"/>
        <w:jc w:val="both"/>
      </w:pPr>
      <w:r w:rsidRPr="00240B71">
        <w:rPr>
          <w:b/>
          <w:bCs/>
          <w:color w:val="0070C0"/>
        </w:rPr>
        <w:t>Lõike 5</w:t>
      </w:r>
      <w:r w:rsidRPr="00C90448">
        <w:t xml:space="preserve"> kohaselt võib hoidla kujas asuda </w:t>
      </w:r>
      <w:r w:rsidRPr="00C90448">
        <w:t xml:space="preserve">tööstus-, </w:t>
      </w:r>
      <w:r w:rsidR="00221D4A" w:rsidRPr="0082499D">
        <w:rPr>
          <w:highlight w:val="yellow"/>
        </w:rPr>
        <w:t>transpordi</w:t>
      </w:r>
      <w:r w:rsidR="00221D4A">
        <w:t xml:space="preserve">-, </w:t>
      </w:r>
      <w:r w:rsidRPr="00C90448">
        <w:t xml:space="preserve">lao-, </w:t>
      </w:r>
      <w:r w:rsidRPr="00C90448">
        <w:t>põllumajandus-, pääste</w:t>
      </w:r>
      <w:r>
        <w:t>-</w:t>
      </w:r>
      <w:r w:rsidRPr="00C90448">
        <w:t xml:space="preserve"> või politseihoone või KemS-i tähenduses suurõnnetuse ohuga ettevõtte või ohtliku ettevõtte ehitis, kui hoidla teenindab sellist hoonet või ettevõtet.</w:t>
      </w:r>
    </w:p>
    <w:p w14:paraId="52112C20" w14:textId="77777777" w:rsidR="00F451D4" w:rsidRDefault="00F451D4" w:rsidP="00F451D4">
      <w:pPr>
        <w:pStyle w:val="NoSpacing"/>
        <w:jc w:val="both"/>
      </w:pPr>
    </w:p>
    <w:p w14:paraId="77D69A31" w14:textId="77777777" w:rsidR="00F451D4" w:rsidRPr="00C90448" w:rsidRDefault="00F451D4" w:rsidP="00F451D4">
      <w:pPr>
        <w:pStyle w:val="NoSpacing"/>
        <w:jc w:val="both"/>
      </w:pPr>
      <w:r w:rsidRPr="0068593B">
        <w:t xml:space="preserve">See tähendab, et kui nimetatud </w:t>
      </w:r>
      <w:r w:rsidRPr="00240B71">
        <w:t>asutuste</w:t>
      </w:r>
      <w:r>
        <w:t xml:space="preserve"> või ettevõtete </w:t>
      </w:r>
      <w:r w:rsidRPr="0068593B">
        <w:t xml:space="preserve">tegutsemiseks on </w:t>
      </w:r>
      <w:r w:rsidRPr="00C90448">
        <w:t>vaja hoidla</w:t>
      </w:r>
      <w:r>
        <w:t>t</w:t>
      </w:r>
      <w:r w:rsidRPr="00C90448">
        <w:t xml:space="preserve">, </w:t>
      </w:r>
      <w:r>
        <w:t>võib</w:t>
      </w:r>
      <w:r w:rsidRPr="00C90448">
        <w:t xml:space="preserve"> se</w:t>
      </w:r>
      <w:r>
        <w:t>lle</w:t>
      </w:r>
      <w:r w:rsidRPr="00C90448">
        <w:t xml:space="preserve"> rajada</w:t>
      </w:r>
      <w:r>
        <w:t>,</w:t>
      </w:r>
      <w:r w:rsidRPr="00C90448">
        <w:t xml:space="preserve"> ilma et </w:t>
      </w:r>
      <w:r>
        <w:t>tagataks</w:t>
      </w:r>
      <w:r w:rsidRPr="00C90448">
        <w:t xml:space="preserve"> </w:t>
      </w:r>
      <w:r>
        <w:t xml:space="preserve">sama paragrahvi </w:t>
      </w:r>
      <w:r w:rsidRPr="00C90448">
        <w:t xml:space="preserve">lõikes </w:t>
      </w:r>
      <w:r>
        <w:t>1</w:t>
      </w:r>
      <w:r w:rsidRPr="00C90448">
        <w:t xml:space="preserve"> nimetatud </w:t>
      </w:r>
      <w:r>
        <w:t>kuja hoidla ja ehitise vahel</w:t>
      </w:r>
      <w:r w:rsidRPr="00C90448">
        <w:t xml:space="preserve">. </w:t>
      </w:r>
      <w:r>
        <w:t>Hoidla kuja tuleb aga tagada t</w:t>
      </w:r>
      <w:r w:rsidRPr="00C90448">
        <w:t xml:space="preserve">erritooriumivälise hoonega või kavandada ohtude vähendamiseks </w:t>
      </w:r>
      <w:r w:rsidRPr="00B53AF2">
        <w:t>ehitus</w:t>
      </w:r>
      <w:r>
        <w:softHyphen/>
      </w:r>
      <w:r w:rsidRPr="00B53AF2">
        <w:t>meetmeid</w:t>
      </w:r>
      <w:r>
        <w:t>,</w:t>
      </w:r>
      <w:r w:rsidRPr="00B53AF2">
        <w:t xml:space="preserve"> </w:t>
      </w:r>
      <w:r>
        <w:t xml:space="preserve">näiteks </w:t>
      </w:r>
      <w:r w:rsidRPr="00C90448">
        <w:t xml:space="preserve">kaitsesein, </w:t>
      </w:r>
      <w:proofErr w:type="spellStart"/>
      <w:r>
        <w:t>kaitse</w:t>
      </w:r>
      <w:r w:rsidRPr="00C90448">
        <w:t>vallitis</w:t>
      </w:r>
      <w:proofErr w:type="spellEnd"/>
      <w:r w:rsidRPr="00C90448">
        <w:t>, udusüsteem</w:t>
      </w:r>
      <w:r>
        <w:t xml:space="preserve"> või</w:t>
      </w:r>
      <w:r w:rsidRPr="00C90448">
        <w:t xml:space="preserve"> piserdussüsteem. Sellisel juhul koostatakse töökeskkonna riskianalüüs, </w:t>
      </w:r>
      <w:r>
        <w:t>mille põhjal</w:t>
      </w:r>
      <w:r w:rsidRPr="00C90448">
        <w:t xml:space="preserve"> selguvad ettevõtte või </w:t>
      </w:r>
      <w:r w:rsidRPr="00240B71">
        <w:t>asutuse</w:t>
      </w:r>
      <w:r w:rsidRPr="00C90448">
        <w:t xml:space="preserve"> tegevuse ja territooriumiga seotud riskid </w:t>
      </w:r>
      <w:r>
        <w:t>ning</w:t>
      </w:r>
      <w:r w:rsidRPr="00C90448">
        <w:t xml:space="preserve"> </w:t>
      </w:r>
      <w:r>
        <w:t xml:space="preserve">milles </w:t>
      </w:r>
      <w:r w:rsidRPr="00C90448">
        <w:t>nähakse ette nende maandamis</w:t>
      </w:r>
      <w:r>
        <w:t xml:space="preserve">e </w:t>
      </w:r>
      <w:r w:rsidRPr="00C90448">
        <w:t>meetmed. Pääste</w:t>
      </w:r>
      <w:r>
        <w:softHyphen/>
        <w:t>l</w:t>
      </w:r>
      <w:r w:rsidRPr="00C90448">
        <w:t xml:space="preserve"> ja politseil on vaja hoida oma territooriumil vedelkütusevaru, et ka kriisiolukorras, kus avalikud kütusetanklad ei pruugi vajalikku varustatust tagada, oleks võimalik operatiiv</w:t>
      </w:r>
      <w:r>
        <w:softHyphen/>
      </w:r>
      <w:r w:rsidRPr="00C90448">
        <w:t>sõidukeid vähemalt mõnda aega vajaduse</w:t>
      </w:r>
      <w:r>
        <w:t xml:space="preserve"> järgi</w:t>
      </w:r>
      <w:r w:rsidRPr="00C90448">
        <w:t xml:space="preserve"> tankida ja jätkata nii põhiülesannete täitmist. Päästehoonetes on olemas oskused ja vahendid, et kiirelt </w:t>
      </w:r>
      <w:r w:rsidRPr="006C3B7C">
        <w:t>õnnetustele</w:t>
      </w:r>
      <w:r w:rsidRPr="006D45C5">
        <w:t xml:space="preserve"> </w:t>
      </w:r>
      <w:r w:rsidRPr="00C90448">
        <w:t>reageerida. Sageli paikneb ka politsei pääste</w:t>
      </w:r>
      <w:r>
        <w:t>ga</w:t>
      </w:r>
      <w:r w:rsidRPr="00C90448">
        <w:t xml:space="preserve"> samas hoones. Eelnõus </w:t>
      </w:r>
      <w:r>
        <w:t>käsitatakse</w:t>
      </w:r>
      <w:r w:rsidRPr="00C90448">
        <w:t xml:space="preserve"> politsei</w:t>
      </w:r>
      <w:r>
        <w:softHyphen/>
      </w:r>
      <w:r w:rsidRPr="00C90448">
        <w:t>hoone</w:t>
      </w:r>
      <w:r>
        <w:t>na</w:t>
      </w:r>
      <w:r w:rsidRPr="00C90448">
        <w:t xml:space="preserve"> eelkõige </w:t>
      </w:r>
      <w:r w:rsidRPr="00C90448">
        <w:lastRenderedPageBreak/>
        <w:t>kordonihoone</w:t>
      </w:r>
      <w:r>
        <w:t>i</w:t>
      </w:r>
      <w:r w:rsidRPr="00C90448">
        <w:t xml:space="preserve">d, mis asuvad eemal asustusest </w:t>
      </w:r>
      <w:r>
        <w:t>ja kus saab</w:t>
      </w:r>
      <w:r w:rsidRPr="00C90448">
        <w:t xml:space="preserve"> vajalikku kütuse</w:t>
      </w:r>
      <w:r>
        <w:softHyphen/>
      </w:r>
      <w:r w:rsidRPr="00C90448">
        <w:t>varu hoida viisil, mis ei kujuta ohtu teistele ehitistele.</w:t>
      </w:r>
    </w:p>
    <w:p w14:paraId="7EE65072" w14:textId="77777777" w:rsidR="00F451D4" w:rsidRPr="00C90448" w:rsidRDefault="00F451D4" w:rsidP="00F451D4">
      <w:pPr>
        <w:pStyle w:val="NoSpacing"/>
        <w:jc w:val="both"/>
      </w:pPr>
    </w:p>
    <w:p w14:paraId="64A90EFC" w14:textId="77777777" w:rsidR="00F451D4" w:rsidRDefault="00F451D4" w:rsidP="00F451D4">
      <w:pPr>
        <w:pStyle w:val="NoSpacing"/>
        <w:jc w:val="both"/>
      </w:pPr>
      <w:r w:rsidRPr="00C90448">
        <w:t>Samuti võib hoidla kujas asuda ehitis, mis teenindab hoidlat. Selline ehitis võib olla näiteks pumbajaam või muu hoidlaga tehnoloogiliselt seotud ehitis. Samuti lubatakse vähemalt kuue meetri kaugusel hoidlast tegevus</w:t>
      </w:r>
      <w:r>
        <w:t>t</w:t>
      </w:r>
      <w:r w:rsidRPr="00C90448">
        <w:t>, mis on seotud</w:t>
      </w:r>
      <w:r>
        <w:t xml:space="preserve"> lõikes nimetatud</w:t>
      </w:r>
      <w:r w:rsidRPr="00C90448">
        <w:t xml:space="preserve"> ettevõtte </w:t>
      </w:r>
      <w:r>
        <w:t xml:space="preserve">või </w:t>
      </w:r>
      <w:r w:rsidRPr="00240B71">
        <w:t>asutuse</w:t>
      </w:r>
      <w:r>
        <w:t xml:space="preserve"> </w:t>
      </w:r>
      <w:r w:rsidRPr="00CE008C">
        <w:t>ehitise tegevusega, näiteks kui on vaja rajada laadimisestakaad, et teha ettevõttele vajalikke laadimis</w:t>
      </w:r>
      <w:r>
        <w:softHyphen/>
      </w:r>
      <w:r w:rsidRPr="00CE008C">
        <w:t>töid</w:t>
      </w:r>
      <w:r>
        <w:t>, või parkida sõidukeid</w:t>
      </w:r>
      <w:r w:rsidRPr="00CE008C">
        <w:t>. Ka KemS-i tähenduses suurõnnetuse ohuga ettevõtte ja ohtliku ettevõtte territooriumile tohib hoidla rajada ainult juhul, kui see teenindab ainult seda ettevõtet.</w:t>
      </w:r>
    </w:p>
    <w:p w14:paraId="44B0D734" w14:textId="77777777" w:rsidR="00F451D4" w:rsidRDefault="00F451D4" w:rsidP="00F451D4">
      <w:pPr>
        <w:pStyle w:val="NoSpacing"/>
        <w:jc w:val="both"/>
      </w:pPr>
    </w:p>
    <w:p w14:paraId="4F3CB0D1" w14:textId="731AECF6" w:rsidR="00F451D4" w:rsidRDefault="00F451D4" w:rsidP="00F451D4">
      <w:pPr>
        <w:pStyle w:val="NoSpacing"/>
        <w:jc w:val="both"/>
      </w:pPr>
      <w:r w:rsidRPr="00240B71">
        <w:rPr>
          <w:b/>
          <w:bCs/>
          <w:color w:val="0070C0"/>
        </w:rPr>
        <w:t>Lõike 6</w:t>
      </w:r>
      <w:r w:rsidRPr="00C90448">
        <w:t xml:space="preserve"> kohaselt </w:t>
      </w:r>
      <w:r>
        <w:t>tuleb lähtuda hoidla ehitamisel nõuetest, mis on sätestatud keskkonnaministri 20. septembri 2019. aasta määruses nr 42 „</w:t>
      </w:r>
      <w:r w:rsidR="002D74C5" w:rsidRPr="002D74C5">
        <w:rPr>
          <w:highlight w:val="yellow"/>
        </w:rPr>
        <w:t>Naftasaaduse, põlevkiviõli, selle saaduse või biokütuse hoidla ehitamise ja kasutamise nõuded</w:t>
      </w:r>
      <w:r>
        <w:t>“</w:t>
      </w:r>
      <w:r w:rsidR="00992140">
        <w:rPr>
          <w:rStyle w:val="FootnoteReference"/>
        </w:rPr>
        <w:footnoteReference w:id="13"/>
      </w:r>
      <w:r>
        <w:t>.</w:t>
      </w:r>
      <w:r w:rsidRPr="00F56363">
        <w:t xml:space="preserve"> </w:t>
      </w:r>
      <w:r>
        <w:t>Selle määrusega on kehtestatud veekaitsega seotud planeerimis-, ehitus- ja ekspluatatsiooninõuded põlevkiviõli või selle saaduse või biokütuse hoidmisehitise kohta. Need nõuded on kehtestatud inimese tervise kaitseks, keskkonnaohtliku olukorra vältimiseks ja veereostuse ärahoidmiseks.</w:t>
      </w:r>
    </w:p>
    <w:p w14:paraId="66583457" w14:textId="77777777" w:rsidR="00F451D4" w:rsidRDefault="00F451D4" w:rsidP="00F451D4">
      <w:pPr>
        <w:pStyle w:val="NoSpacing"/>
        <w:jc w:val="both"/>
      </w:pPr>
    </w:p>
    <w:p w14:paraId="60DCD574" w14:textId="03CFDDCB" w:rsidR="00F451D4" w:rsidRDefault="00F451D4" w:rsidP="00F451D4">
      <w:pPr>
        <w:pStyle w:val="NoSpacing"/>
        <w:jc w:val="both"/>
        <w:rPr>
          <w:rFonts w:eastAsia="Calibri"/>
          <w:bCs/>
          <w:color w:val="000000"/>
        </w:rPr>
      </w:pPr>
      <w:bookmarkStart w:id="22" w:name="_Toc149306203"/>
      <w:r w:rsidRPr="00C90448">
        <w:rPr>
          <w:rStyle w:val="Heading3Char"/>
        </w:rPr>
        <w:t>Eelnõu §-s 1</w:t>
      </w:r>
      <w:bookmarkEnd w:id="22"/>
      <w:r w:rsidR="00235784">
        <w:rPr>
          <w:rStyle w:val="Heading3Char"/>
        </w:rPr>
        <w:t>1</w:t>
      </w:r>
      <w:r w:rsidRPr="00B701C8">
        <w:rPr>
          <w:rFonts w:eastAsia="Calibri"/>
          <w:bCs/>
          <w:color w:val="000000"/>
        </w:rPr>
        <w:t xml:space="preserve"> </w:t>
      </w:r>
      <w:r>
        <w:rPr>
          <w:rFonts w:eastAsia="Calibri"/>
          <w:bCs/>
          <w:color w:val="000000"/>
        </w:rPr>
        <w:t>sätestatakse nõuded a</w:t>
      </w:r>
      <w:r w:rsidRPr="00EF2AE3">
        <w:rPr>
          <w:rFonts w:eastAsia="Calibri"/>
          <w:bCs/>
          <w:color w:val="000000"/>
        </w:rPr>
        <w:t>mmoniaagi</w:t>
      </w:r>
      <w:r>
        <w:rPr>
          <w:rFonts w:eastAsia="Calibri"/>
          <w:bCs/>
          <w:color w:val="000000"/>
        </w:rPr>
        <w:t xml:space="preserve">rajatise </w:t>
      </w:r>
      <w:r w:rsidRPr="00EF2AE3">
        <w:rPr>
          <w:rFonts w:eastAsia="Calibri"/>
          <w:bCs/>
          <w:color w:val="000000"/>
        </w:rPr>
        <w:t>kuja</w:t>
      </w:r>
      <w:r>
        <w:rPr>
          <w:rFonts w:eastAsia="Calibri"/>
          <w:bCs/>
          <w:color w:val="000000"/>
        </w:rPr>
        <w:t xml:space="preserve">le. Ehkki ammoniaak tekitab peamiselt tervise- ja keskkonnaohtu, ei tohi siiski alahinnata ka võimalikku </w:t>
      </w:r>
      <w:r w:rsidRPr="00340B5D">
        <w:rPr>
          <w:rFonts w:eastAsia="Calibri"/>
          <w:bCs/>
          <w:color w:val="000000"/>
        </w:rPr>
        <w:t>tuleoh</w:t>
      </w:r>
      <w:r>
        <w:rPr>
          <w:rFonts w:eastAsia="Calibri"/>
          <w:bCs/>
          <w:color w:val="000000"/>
        </w:rPr>
        <w:t>tu</w:t>
      </w:r>
      <w:r w:rsidRPr="00340B5D">
        <w:rPr>
          <w:rFonts w:eastAsia="Calibri"/>
          <w:bCs/>
          <w:color w:val="000000"/>
        </w:rPr>
        <w:t>.</w:t>
      </w:r>
      <w:r>
        <w:t xml:space="preserve"> </w:t>
      </w:r>
      <w:r w:rsidRPr="00340B5D">
        <w:rPr>
          <w:rFonts w:eastAsia="Calibri"/>
          <w:bCs/>
          <w:color w:val="000000"/>
        </w:rPr>
        <w:t xml:space="preserve">Ammoniaak võib lekkida </w:t>
      </w:r>
      <w:r>
        <w:rPr>
          <w:rFonts w:eastAsia="Calibri"/>
          <w:bCs/>
          <w:color w:val="000000"/>
        </w:rPr>
        <w:t xml:space="preserve">näiteks </w:t>
      </w:r>
      <w:r w:rsidRPr="00C45464">
        <w:rPr>
          <w:rFonts w:eastAsia="Calibri"/>
          <w:bCs/>
          <w:color w:val="000000"/>
        </w:rPr>
        <w:t>külmutusseadmest</w:t>
      </w:r>
      <w:r w:rsidRPr="00340B5D">
        <w:rPr>
          <w:rFonts w:eastAsia="Calibri"/>
          <w:bCs/>
          <w:color w:val="000000"/>
        </w:rPr>
        <w:t xml:space="preserve"> keskkonda tavaliselt ohutusseadme või </w:t>
      </w:r>
      <w:r>
        <w:rPr>
          <w:rFonts w:eastAsia="Calibri"/>
          <w:bCs/>
          <w:color w:val="000000"/>
        </w:rPr>
        <w:t xml:space="preserve">muu </w:t>
      </w:r>
      <w:r w:rsidRPr="00340B5D">
        <w:rPr>
          <w:rFonts w:eastAsia="Calibri"/>
          <w:bCs/>
          <w:color w:val="000000"/>
        </w:rPr>
        <w:t>seadme rikke tõttu</w:t>
      </w:r>
      <w:r>
        <w:rPr>
          <w:rFonts w:eastAsia="Calibri"/>
          <w:bCs/>
          <w:color w:val="000000"/>
        </w:rPr>
        <w:t>,</w:t>
      </w:r>
      <w:r w:rsidRPr="00340B5D">
        <w:rPr>
          <w:rFonts w:eastAsia="Calibri"/>
          <w:bCs/>
          <w:color w:val="000000"/>
        </w:rPr>
        <w:t xml:space="preserve"> n</w:t>
      </w:r>
      <w:r>
        <w:rPr>
          <w:rFonts w:eastAsia="Calibri"/>
          <w:bCs/>
          <w:color w:val="000000"/>
        </w:rPr>
        <w:t>äiteks</w:t>
      </w:r>
      <w:r w:rsidRPr="00340B5D">
        <w:rPr>
          <w:rFonts w:eastAsia="Calibri"/>
          <w:bCs/>
          <w:color w:val="000000"/>
        </w:rPr>
        <w:t xml:space="preserve"> toru</w:t>
      </w:r>
      <w:r>
        <w:rPr>
          <w:rFonts w:eastAsia="Calibri"/>
          <w:bCs/>
          <w:color w:val="000000"/>
        </w:rPr>
        <w:t>-</w:t>
      </w:r>
      <w:r w:rsidRPr="00340B5D">
        <w:rPr>
          <w:rFonts w:eastAsia="Calibri"/>
          <w:bCs/>
          <w:color w:val="000000"/>
        </w:rPr>
        <w:t xml:space="preserve"> või ventiilirike. Vähem levinud on </w:t>
      </w:r>
      <w:r>
        <w:rPr>
          <w:rFonts w:eastAsia="Calibri"/>
          <w:bCs/>
          <w:color w:val="000000"/>
        </w:rPr>
        <w:t>külmutus</w:t>
      </w:r>
      <w:r w:rsidRPr="00340B5D">
        <w:rPr>
          <w:rFonts w:eastAsia="Calibri"/>
          <w:bCs/>
          <w:color w:val="000000"/>
        </w:rPr>
        <w:t>seadme purunemi</w:t>
      </w:r>
      <w:r>
        <w:rPr>
          <w:rFonts w:eastAsia="Calibri"/>
          <w:bCs/>
          <w:color w:val="000000"/>
        </w:rPr>
        <w:t>n</w:t>
      </w:r>
      <w:r w:rsidRPr="00340B5D">
        <w:rPr>
          <w:rFonts w:eastAsia="Calibri"/>
          <w:bCs/>
          <w:color w:val="000000"/>
        </w:rPr>
        <w:t>e, mis või</w:t>
      </w:r>
      <w:r>
        <w:rPr>
          <w:rFonts w:eastAsia="Calibri"/>
          <w:bCs/>
          <w:color w:val="000000"/>
        </w:rPr>
        <w:t>b</w:t>
      </w:r>
      <w:r w:rsidRPr="00340B5D">
        <w:rPr>
          <w:rFonts w:eastAsia="Calibri"/>
          <w:bCs/>
          <w:color w:val="000000"/>
        </w:rPr>
        <w:t xml:space="preserve"> </w:t>
      </w:r>
      <w:r>
        <w:rPr>
          <w:rFonts w:eastAsia="Calibri"/>
          <w:bCs/>
          <w:color w:val="000000"/>
        </w:rPr>
        <w:t>järsku</w:t>
      </w:r>
      <w:r w:rsidRPr="00340B5D">
        <w:rPr>
          <w:rFonts w:eastAsia="Calibri"/>
          <w:bCs/>
          <w:color w:val="000000"/>
        </w:rPr>
        <w:t xml:space="preserve"> vabastada suur</w:t>
      </w:r>
      <w:r>
        <w:rPr>
          <w:rFonts w:eastAsia="Calibri"/>
          <w:bCs/>
          <w:color w:val="000000"/>
        </w:rPr>
        <w:t>e</w:t>
      </w:r>
      <w:r w:rsidRPr="00340B5D">
        <w:rPr>
          <w:rFonts w:eastAsia="Calibri"/>
          <w:bCs/>
          <w:color w:val="000000"/>
        </w:rPr>
        <w:t xml:space="preserve"> koguse ammoniaaki. Ammoniaak ärritab hingamisteid ja ärritus</w:t>
      </w:r>
      <w:r>
        <w:rPr>
          <w:rFonts w:eastAsia="Calibri"/>
          <w:bCs/>
          <w:color w:val="000000"/>
        </w:rPr>
        <w:t>e tugevus</w:t>
      </w:r>
      <w:r w:rsidRPr="00340B5D">
        <w:rPr>
          <w:rFonts w:eastAsia="Calibri"/>
          <w:bCs/>
          <w:color w:val="000000"/>
        </w:rPr>
        <w:t xml:space="preserve"> </w:t>
      </w:r>
      <w:r>
        <w:rPr>
          <w:rFonts w:eastAsia="Calibri"/>
          <w:bCs/>
          <w:color w:val="000000"/>
        </w:rPr>
        <w:t>sõltub</w:t>
      </w:r>
      <w:r w:rsidRPr="00340B5D">
        <w:rPr>
          <w:rFonts w:eastAsia="Calibri"/>
          <w:bCs/>
          <w:color w:val="000000"/>
        </w:rPr>
        <w:t xml:space="preserve"> ammoniaagi kontsentratsiooni</w:t>
      </w:r>
      <w:r>
        <w:rPr>
          <w:rFonts w:eastAsia="Calibri"/>
          <w:bCs/>
          <w:color w:val="000000"/>
        </w:rPr>
        <w:t>st</w:t>
      </w:r>
      <w:r w:rsidRPr="00340B5D">
        <w:rPr>
          <w:rFonts w:eastAsia="Calibri"/>
          <w:bCs/>
          <w:color w:val="000000"/>
        </w:rPr>
        <w:t xml:space="preserve">. Vedela ammoniaagi pritsmed võivad põhjustada ka nahasöövitust ja külmakahjustusi. Ammoniaak põleb suletud ruumis, </w:t>
      </w:r>
      <w:r>
        <w:rPr>
          <w:rFonts w:eastAsia="Calibri"/>
          <w:bCs/>
          <w:color w:val="000000"/>
        </w:rPr>
        <w:t>kuid mitte</w:t>
      </w:r>
      <w:r w:rsidRPr="00340B5D">
        <w:rPr>
          <w:rFonts w:eastAsia="Calibri"/>
          <w:bCs/>
          <w:color w:val="000000"/>
        </w:rPr>
        <w:t xml:space="preserve"> õues ilma toetava leegita. Ammoniaagi vabanemise tagajär</w:t>
      </w:r>
      <w:r>
        <w:rPr>
          <w:rFonts w:eastAsia="Calibri"/>
          <w:bCs/>
          <w:color w:val="000000"/>
        </w:rPr>
        <w:t>g</w:t>
      </w:r>
      <w:r w:rsidRPr="00340B5D">
        <w:rPr>
          <w:rFonts w:eastAsia="Calibri"/>
          <w:bCs/>
          <w:color w:val="000000"/>
        </w:rPr>
        <w:t xml:space="preserve"> või</w:t>
      </w:r>
      <w:r>
        <w:rPr>
          <w:rFonts w:eastAsia="Calibri"/>
          <w:bCs/>
          <w:color w:val="000000"/>
        </w:rPr>
        <w:t>b</w:t>
      </w:r>
      <w:r w:rsidRPr="00340B5D">
        <w:rPr>
          <w:rFonts w:eastAsia="Calibri"/>
          <w:bCs/>
          <w:color w:val="000000"/>
        </w:rPr>
        <w:t xml:space="preserve"> </w:t>
      </w:r>
      <w:r>
        <w:rPr>
          <w:rFonts w:eastAsia="Calibri"/>
          <w:bCs/>
          <w:color w:val="000000"/>
        </w:rPr>
        <w:t>olenevalt</w:t>
      </w:r>
      <w:r w:rsidRPr="00340B5D">
        <w:rPr>
          <w:rFonts w:eastAsia="Calibri"/>
          <w:bCs/>
          <w:color w:val="000000"/>
        </w:rPr>
        <w:t xml:space="preserve"> saastumisest m</w:t>
      </w:r>
      <w:r>
        <w:rPr>
          <w:rFonts w:eastAsia="Calibri"/>
          <w:bCs/>
          <w:color w:val="000000"/>
        </w:rPr>
        <w:t>äärdeõliga olla ka plahvatus</w:t>
      </w:r>
      <w:r w:rsidRPr="00340B5D">
        <w:rPr>
          <w:rFonts w:eastAsia="Calibri"/>
          <w:bCs/>
          <w:color w:val="000000"/>
        </w:rPr>
        <w:t>.</w:t>
      </w:r>
      <w:r>
        <w:rPr>
          <w:rFonts w:eastAsia="Calibri"/>
          <w:bCs/>
          <w:color w:val="000000"/>
        </w:rPr>
        <w:t xml:space="preserve"> Sealjuures võib </w:t>
      </w:r>
      <w:r w:rsidRPr="00C45464">
        <w:rPr>
          <w:rFonts w:eastAsia="Calibri"/>
          <w:bCs/>
          <w:color w:val="000000"/>
        </w:rPr>
        <w:t>ammoniaagiga külmutusseadme</w:t>
      </w:r>
      <w:r>
        <w:rPr>
          <w:rFonts w:eastAsia="Calibri"/>
          <w:bCs/>
          <w:color w:val="000000"/>
        </w:rPr>
        <w:t xml:space="preserve"> määrdeõlide segu plahvatuse ulatus </w:t>
      </w:r>
      <w:r w:rsidRPr="00340B5D">
        <w:rPr>
          <w:rFonts w:eastAsia="Calibri"/>
          <w:bCs/>
          <w:color w:val="000000"/>
        </w:rPr>
        <w:t>olla palju laiem</w:t>
      </w:r>
      <w:r>
        <w:rPr>
          <w:rFonts w:eastAsia="Calibri"/>
          <w:bCs/>
          <w:color w:val="000000"/>
        </w:rPr>
        <w:t xml:space="preserve"> kui puhta aine lekke tagajärjel toimunud plahvatus</w:t>
      </w:r>
      <w:r w:rsidRPr="00340B5D">
        <w:rPr>
          <w:rFonts w:eastAsia="Calibri"/>
          <w:bCs/>
          <w:color w:val="000000"/>
        </w:rPr>
        <w:t>. Ammoniaagi süttimiseks on vaja</w:t>
      </w:r>
      <w:r>
        <w:rPr>
          <w:rFonts w:eastAsia="Calibri"/>
          <w:bCs/>
          <w:color w:val="000000"/>
        </w:rPr>
        <w:t xml:space="preserve"> süttimisallikat, ja kuigi</w:t>
      </w:r>
      <w:r w:rsidRPr="00340B5D">
        <w:rPr>
          <w:rFonts w:eastAsia="Calibri"/>
          <w:bCs/>
          <w:color w:val="000000"/>
        </w:rPr>
        <w:t xml:space="preserve"> </w:t>
      </w:r>
      <w:r>
        <w:rPr>
          <w:rFonts w:eastAsia="Calibri"/>
          <w:bCs/>
          <w:color w:val="000000"/>
        </w:rPr>
        <w:t>se</w:t>
      </w:r>
      <w:r w:rsidRPr="00340B5D">
        <w:rPr>
          <w:rFonts w:eastAsia="Calibri"/>
          <w:bCs/>
          <w:color w:val="000000"/>
        </w:rPr>
        <w:t xml:space="preserve">lle energia on minimaalne, </w:t>
      </w:r>
      <w:r>
        <w:rPr>
          <w:rFonts w:eastAsia="Calibri"/>
          <w:bCs/>
          <w:color w:val="000000"/>
        </w:rPr>
        <w:t>on see</w:t>
      </w:r>
      <w:r w:rsidRPr="00340B5D">
        <w:rPr>
          <w:rFonts w:eastAsia="Calibri"/>
          <w:bCs/>
          <w:color w:val="000000"/>
        </w:rPr>
        <w:t xml:space="preserve"> võrrel</w:t>
      </w:r>
      <w:r>
        <w:rPr>
          <w:rFonts w:eastAsia="Calibri"/>
          <w:bCs/>
          <w:color w:val="000000"/>
        </w:rPr>
        <w:t>des teiste ohtlike ainetega</w:t>
      </w:r>
      <w:r w:rsidRPr="00340B5D">
        <w:rPr>
          <w:rFonts w:eastAsia="Calibri"/>
          <w:bCs/>
          <w:color w:val="000000"/>
        </w:rPr>
        <w:t xml:space="preserve"> </w:t>
      </w:r>
      <w:r>
        <w:rPr>
          <w:rFonts w:eastAsia="Calibri"/>
          <w:bCs/>
          <w:color w:val="000000"/>
        </w:rPr>
        <w:t xml:space="preserve">siiski </w:t>
      </w:r>
      <w:r w:rsidRPr="00340B5D">
        <w:rPr>
          <w:rFonts w:eastAsia="Calibri"/>
          <w:bCs/>
          <w:color w:val="000000"/>
        </w:rPr>
        <w:t>märkimisväärne</w:t>
      </w:r>
      <w:r w:rsidRPr="00340B5D">
        <w:rPr>
          <w:rFonts w:eastAsia="Calibri"/>
          <w:bCs/>
          <w:color w:val="000000"/>
        </w:rPr>
        <w:t>.</w:t>
      </w:r>
      <w:r w:rsidR="00E673F6">
        <w:rPr>
          <w:rFonts w:eastAsia="Calibri"/>
          <w:bCs/>
          <w:color w:val="000000"/>
        </w:rPr>
        <w:t xml:space="preserve"> </w:t>
      </w:r>
      <w:r w:rsidR="00E673F6" w:rsidRPr="0082499D">
        <w:rPr>
          <w:rFonts w:eastAsia="Calibri"/>
          <w:bCs/>
          <w:color w:val="000000"/>
          <w:highlight w:val="yellow"/>
        </w:rPr>
        <w:t>Ammoniaagirajatise kuja kehtestamisel on arvesse võetud Soome Kemikaaliameti (Tukes) juhendit</w:t>
      </w:r>
      <w:r w:rsidR="00E673F6" w:rsidRPr="0082499D">
        <w:rPr>
          <w:rStyle w:val="FootnoteReference"/>
          <w:rFonts w:eastAsia="Calibri"/>
          <w:bCs/>
          <w:color w:val="000000"/>
          <w:highlight w:val="yellow"/>
        </w:rPr>
        <w:footnoteReference w:id="14"/>
      </w:r>
      <w:r w:rsidR="00E673F6" w:rsidRPr="0082499D">
        <w:rPr>
          <w:rFonts w:eastAsia="Calibri"/>
          <w:bCs/>
          <w:color w:val="000000"/>
          <w:highlight w:val="yellow"/>
        </w:rPr>
        <w:t>, kuna praktika on Eestile sarnane.</w:t>
      </w:r>
    </w:p>
    <w:p w14:paraId="12F5B9E8" w14:textId="77777777" w:rsidR="00F451D4" w:rsidRDefault="00F451D4" w:rsidP="00F451D4">
      <w:pPr>
        <w:pStyle w:val="NoSpacing"/>
        <w:jc w:val="both"/>
        <w:rPr>
          <w:rFonts w:eastAsia="Calibri"/>
          <w:bCs/>
          <w:color w:val="000000"/>
        </w:rPr>
      </w:pPr>
    </w:p>
    <w:p w14:paraId="77E9A8EF" w14:textId="479CF241" w:rsidR="00F451D4" w:rsidRPr="00321B4B" w:rsidRDefault="00F451D4" w:rsidP="00F451D4">
      <w:pPr>
        <w:pStyle w:val="NoSpacing"/>
        <w:jc w:val="both"/>
        <w:rPr>
          <w:rFonts w:eastAsia="Calibri"/>
        </w:rPr>
      </w:pPr>
      <w:r w:rsidRPr="00240B71">
        <w:rPr>
          <w:rFonts w:eastAsia="Calibri"/>
          <w:b/>
          <w:color w:val="0070C0"/>
        </w:rPr>
        <w:t>Lõikes 1</w:t>
      </w:r>
      <w:r w:rsidRPr="00C90448">
        <w:rPr>
          <w:rFonts w:eastAsia="Calibri"/>
        </w:rPr>
        <w:t xml:space="preserve"> esitatakse </w:t>
      </w:r>
      <w:r>
        <w:rPr>
          <w:rFonts w:eastAsia="Calibri"/>
        </w:rPr>
        <w:t>tabelis ammoniaagirajatise kuja sõltuvalt rajatise mahutavusest. Kuja</w:t>
      </w:r>
      <w:r w:rsidRPr="00340B5D">
        <w:rPr>
          <w:rFonts w:eastAsia="Calibri"/>
        </w:rPr>
        <w:t xml:space="preserve"> sõltub mitmest tegurist, näiteks tehase tüübist, ammoniaagi kogusest ja selle temperatuurist ning </w:t>
      </w:r>
      <w:proofErr w:type="spellStart"/>
      <w:r w:rsidRPr="00340B5D">
        <w:rPr>
          <w:rFonts w:eastAsia="Calibri"/>
        </w:rPr>
        <w:t>aurustajasse</w:t>
      </w:r>
      <w:proofErr w:type="spellEnd"/>
      <w:r w:rsidRPr="00340B5D">
        <w:rPr>
          <w:rFonts w:eastAsia="Calibri"/>
        </w:rPr>
        <w:t xml:space="preserve"> viiva toru läbimõõdust. </w:t>
      </w:r>
      <w:r>
        <w:rPr>
          <w:rFonts w:eastAsia="Calibri"/>
        </w:rPr>
        <w:t>Kuja</w:t>
      </w:r>
      <w:r w:rsidRPr="00340B5D">
        <w:rPr>
          <w:rFonts w:eastAsia="Calibri"/>
        </w:rPr>
        <w:t xml:space="preserve"> </w:t>
      </w:r>
      <w:r>
        <w:rPr>
          <w:rFonts w:eastAsia="Calibri"/>
        </w:rPr>
        <w:t>antakse</w:t>
      </w:r>
      <w:r w:rsidRPr="00340B5D">
        <w:rPr>
          <w:rFonts w:eastAsia="Calibri"/>
        </w:rPr>
        <w:t xml:space="preserve"> </w:t>
      </w:r>
      <w:r>
        <w:rPr>
          <w:rFonts w:eastAsia="Calibri"/>
        </w:rPr>
        <w:t xml:space="preserve">eelnõu normitehnilise märkuse kohaselt </w:t>
      </w:r>
      <w:r w:rsidRPr="00340B5D">
        <w:rPr>
          <w:rFonts w:eastAsia="Calibri"/>
        </w:rPr>
        <w:t>kahte tüüpi rajatiste jaoks: A-tüüpi</w:t>
      </w:r>
      <w:r>
        <w:rPr>
          <w:rFonts w:eastAsia="Calibri"/>
        </w:rPr>
        <w:t xml:space="preserve"> rajatis, mille puhul</w:t>
      </w:r>
      <w:r w:rsidRPr="008436A3">
        <w:rPr>
          <w:rFonts w:eastAsia="Calibri"/>
        </w:rPr>
        <w:t xml:space="preserve"> </w:t>
      </w:r>
      <w:r w:rsidRPr="00340B5D">
        <w:rPr>
          <w:rFonts w:eastAsia="Calibri"/>
        </w:rPr>
        <w:t>on kõik seadmed masina</w:t>
      </w:r>
      <w:r>
        <w:rPr>
          <w:rFonts w:eastAsia="Calibri"/>
        </w:rPr>
        <w:t>-</w:t>
      </w:r>
      <w:r w:rsidRPr="00340B5D">
        <w:rPr>
          <w:rFonts w:eastAsia="Calibri"/>
        </w:rPr>
        <w:t xml:space="preserve"> või tootmisruumis</w:t>
      </w:r>
      <w:r>
        <w:rPr>
          <w:rFonts w:eastAsia="Calibri"/>
        </w:rPr>
        <w:t>, v</w:t>
      </w:r>
      <w:r w:rsidRPr="00340B5D">
        <w:rPr>
          <w:rFonts w:eastAsia="Calibri"/>
        </w:rPr>
        <w:t>älja arvatud</w:t>
      </w:r>
      <w:r>
        <w:rPr>
          <w:rFonts w:eastAsia="Calibri"/>
        </w:rPr>
        <w:t xml:space="preserve"> kondensaator ja selle torustik, ning </w:t>
      </w:r>
      <w:r w:rsidRPr="00340B5D">
        <w:rPr>
          <w:rFonts w:eastAsia="Calibri"/>
        </w:rPr>
        <w:t>B-tüüpi</w:t>
      </w:r>
      <w:r>
        <w:rPr>
          <w:rFonts w:eastAsia="Calibri"/>
        </w:rPr>
        <w:t xml:space="preserve"> rajatis, mis on m</w:t>
      </w:r>
      <w:r w:rsidRPr="00340B5D">
        <w:rPr>
          <w:rFonts w:eastAsia="Calibri"/>
        </w:rPr>
        <w:t>uu kui A-tüüpi rajatis</w:t>
      </w:r>
      <w:r>
        <w:rPr>
          <w:rFonts w:eastAsia="Calibri"/>
        </w:rPr>
        <w:t xml:space="preserve">. </w:t>
      </w:r>
      <w:r w:rsidR="00D114FA">
        <w:rPr>
          <w:rFonts w:eastAsia="Calibri"/>
          <w:highlight w:val="yellow"/>
        </w:rPr>
        <w:t xml:space="preserve">Kokkuvõtvalt </w:t>
      </w:r>
      <w:r w:rsidR="00D114FA" w:rsidRPr="00D114FA">
        <w:rPr>
          <w:rFonts w:eastAsia="Calibri"/>
          <w:highlight w:val="yellow"/>
        </w:rPr>
        <w:t>tähendab, et A-tüüpi rajatised on hoonesisesed ja B-tüüpi rajatised on hoonevälised</w:t>
      </w:r>
      <w:r w:rsidR="00D114FA" w:rsidRPr="00B85AB8">
        <w:rPr>
          <w:rFonts w:eastAsia="Calibri"/>
          <w:highlight w:val="yellow"/>
        </w:rPr>
        <w:t xml:space="preserve">. </w:t>
      </w:r>
      <w:r w:rsidRPr="00B85AB8">
        <w:rPr>
          <w:rFonts w:eastAsia="Calibri"/>
          <w:highlight w:val="yellow"/>
        </w:rPr>
        <w:t>Mahutavuse arvutamist on käsitletud eelnõu § 1</w:t>
      </w:r>
      <w:r w:rsidR="00235784">
        <w:rPr>
          <w:rFonts w:eastAsia="Calibri"/>
          <w:highlight w:val="yellow"/>
        </w:rPr>
        <w:t>0</w:t>
      </w:r>
      <w:r w:rsidRPr="00B85AB8">
        <w:rPr>
          <w:rFonts w:eastAsia="Calibri"/>
          <w:highlight w:val="yellow"/>
        </w:rPr>
        <w:t xml:space="preserve"> lõike 1 selgituses.</w:t>
      </w:r>
    </w:p>
    <w:p w14:paraId="118E3FD5" w14:textId="77777777" w:rsidR="00E673F6" w:rsidRDefault="00E673F6" w:rsidP="00F451D4">
      <w:pPr>
        <w:pStyle w:val="NoSpacing"/>
        <w:jc w:val="both"/>
        <w:rPr>
          <w:rFonts w:eastAsia="Calibri"/>
          <w:b/>
          <w:bCs/>
          <w:color w:val="0070C0"/>
        </w:rPr>
      </w:pPr>
    </w:p>
    <w:p w14:paraId="378F52D9" w14:textId="6104D5E3" w:rsidR="00F451D4" w:rsidRPr="00272081" w:rsidRDefault="00F451D4" w:rsidP="00F451D4">
      <w:pPr>
        <w:pStyle w:val="NoSpacing"/>
        <w:jc w:val="both"/>
        <w:rPr>
          <w:rFonts w:eastAsia="Calibri"/>
          <w:highlight w:val="yellow"/>
        </w:rPr>
      </w:pPr>
      <w:r w:rsidRPr="00240B71">
        <w:rPr>
          <w:rFonts w:eastAsia="Calibri"/>
          <w:b/>
          <w:bCs/>
          <w:color w:val="0070C0"/>
        </w:rPr>
        <w:t>Lõike 2</w:t>
      </w:r>
      <w:r w:rsidRPr="00C90448">
        <w:rPr>
          <w:rFonts w:eastAsia="Calibri"/>
        </w:rPr>
        <w:t xml:space="preserve"> </w:t>
      </w:r>
      <w:r>
        <w:rPr>
          <w:rFonts w:eastAsia="Calibri"/>
        </w:rPr>
        <w:t>kohaselt on</w:t>
      </w:r>
      <w:r w:rsidRPr="002309F8">
        <w:t xml:space="preserve"> </w:t>
      </w:r>
      <w:r>
        <w:rPr>
          <w:rFonts w:eastAsia="Calibri"/>
        </w:rPr>
        <w:t>a</w:t>
      </w:r>
      <w:r w:rsidRPr="00445F30">
        <w:rPr>
          <w:rFonts w:eastAsia="Calibri"/>
        </w:rPr>
        <w:t xml:space="preserve">mmoniaagirajatise kuja </w:t>
      </w:r>
      <w:r>
        <w:rPr>
          <w:rFonts w:eastAsia="Calibri"/>
        </w:rPr>
        <w:t>eelnõu</w:t>
      </w:r>
      <w:r w:rsidRPr="00445F30">
        <w:rPr>
          <w:rFonts w:eastAsia="Calibri"/>
        </w:rPr>
        <w:t xml:space="preserve"> tähenduses kõige väiksem lubatud kaugus </w:t>
      </w:r>
      <w:r w:rsidR="008D1ABE" w:rsidRPr="00272081">
        <w:rPr>
          <w:rFonts w:eastAsia="Calibri"/>
          <w:highlight w:val="yellow"/>
        </w:rPr>
        <w:t>suurõnnetuse ohuga ettevõttest, ohtlikust ettevõttest, suure kasutatavusega sõiduteest, elamust, raviasutusest, majutusasutusest, haridusasutusest, kogunemiskohast või muust samalaadsest rajatise tegevusega mitteseotud hoonest</w:t>
      </w:r>
      <w:r w:rsidRPr="00272081">
        <w:rPr>
          <w:rFonts w:eastAsia="Calibri"/>
          <w:highlight w:val="yellow"/>
        </w:rPr>
        <w:t>.</w:t>
      </w:r>
      <w:r w:rsidR="008D1ABE" w:rsidRPr="00272081">
        <w:rPr>
          <w:rFonts w:eastAsia="Calibri"/>
          <w:highlight w:val="yellow"/>
        </w:rPr>
        <w:t xml:space="preserve"> </w:t>
      </w:r>
      <w:r w:rsidR="006C4E52">
        <w:rPr>
          <w:rFonts w:eastAsia="Calibri"/>
          <w:highlight w:val="yellow"/>
        </w:rPr>
        <w:t>E</w:t>
      </w:r>
      <w:r w:rsidR="008D1ABE" w:rsidRPr="00272081">
        <w:rPr>
          <w:rFonts w:eastAsia="Calibri"/>
          <w:highlight w:val="yellow"/>
        </w:rPr>
        <w:t>elnõu lõike 1 tabelis on esitatud erinevad kuja nõuded erinevatele hoonetele ja rajatistele</w:t>
      </w:r>
      <w:r w:rsidR="00F063FB">
        <w:rPr>
          <w:rFonts w:eastAsia="Calibri"/>
          <w:highlight w:val="yellow"/>
        </w:rPr>
        <w:t xml:space="preserve">, </w:t>
      </w:r>
      <w:r w:rsidR="006C4E52">
        <w:rPr>
          <w:rFonts w:eastAsia="Calibri"/>
          <w:highlight w:val="yellow"/>
        </w:rPr>
        <w:t>see</w:t>
      </w:r>
      <w:r w:rsidR="008D1ABE" w:rsidRPr="00272081">
        <w:rPr>
          <w:rFonts w:eastAsia="Calibri"/>
          <w:highlight w:val="yellow"/>
        </w:rPr>
        <w:t xml:space="preserve"> </w:t>
      </w:r>
      <w:r w:rsidR="006C4E52">
        <w:rPr>
          <w:rFonts w:eastAsia="Calibri"/>
          <w:highlight w:val="yellow"/>
        </w:rPr>
        <w:t xml:space="preserve">peab tagama optimaalseima miinimumkauguse võttes arvesse võimalikke </w:t>
      </w:r>
      <w:r w:rsidR="008D1ABE" w:rsidRPr="00272081">
        <w:rPr>
          <w:rFonts w:eastAsia="Calibri"/>
          <w:highlight w:val="yellow"/>
        </w:rPr>
        <w:t>tagajärg</w:t>
      </w:r>
      <w:r w:rsidR="006C4E52">
        <w:rPr>
          <w:rFonts w:eastAsia="Calibri"/>
          <w:highlight w:val="yellow"/>
        </w:rPr>
        <w:t>i nimetatud hoonetele ja rajatistele</w:t>
      </w:r>
      <w:r w:rsidR="00F063FB">
        <w:rPr>
          <w:rFonts w:eastAsia="Calibri"/>
          <w:highlight w:val="yellow"/>
        </w:rPr>
        <w:t>.</w:t>
      </w:r>
    </w:p>
    <w:p w14:paraId="106A10EC" w14:textId="77777777" w:rsidR="00F451D4" w:rsidRPr="00272081" w:rsidRDefault="00F451D4" w:rsidP="00F451D4">
      <w:pPr>
        <w:pStyle w:val="NoSpacing"/>
        <w:jc w:val="both"/>
        <w:rPr>
          <w:rFonts w:eastAsia="Calibri"/>
          <w:highlight w:val="yellow"/>
          <w:u w:val="single"/>
        </w:rPr>
      </w:pPr>
    </w:p>
    <w:p w14:paraId="5017E927" w14:textId="55CE52F6" w:rsidR="00F451D4" w:rsidRDefault="00F451D4" w:rsidP="00F451D4">
      <w:pPr>
        <w:pStyle w:val="NoSpacing"/>
        <w:jc w:val="both"/>
        <w:rPr>
          <w:rFonts w:eastAsia="Calibri"/>
        </w:rPr>
      </w:pPr>
      <w:r w:rsidRPr="00240B71">
        <w:rPr>
          <w:rFonts w:eastAsia="Calibri"/>
          <w:b/>
          <w:bCs/>
          <w:color w:val="0070C0"/>
        </w:rPr>
        <w:lastRenderedPageBreak/>
        <w:t>Lõike 3</w:t>
      </w:r>
      <w:r w:rsidRPr="00240B71">
        <w:rPr>
          <w:rFonts w:eastAsia="Calibri"/>
          <w:color w:val="0070C0"/>
        </w:rPr>
        <w:t xml:space="preserve"> </w:t>
      </w:r>
      <w:r w:rsidRPr="00C90448">
        <w:rPr>
          <w:rFonts w:eastAsia="Calibri"/>
        </w:rPr>
        <w:t>kohaselt määratakse üle kümnetonnise mahutavusega ammoniaagi</w:t>
      </w:r>
      <w:r>
        <w:rPr>
          <w:rFonts w:eastAsia="Calibri"/>
        </w:rPr>
        <w:t xml:space="preserve">rajatise </w:t>
      </w:r>
      <w:r w:rsidRPr="00C90448">
        <w:rPr>
          <w:rFonts w:eastAsia="Calibri"/>
        </w:rPr>
        <w:t xml:space="preserve">kuja </w:t>
      </w:r>
      <w:r w:rsidRPr="00321B4B">
        <w:rPr>
          <w:rFonts w:eastAsia="Calibri"/>
        </w:rPr>
        <w:t>ehitus</w:t>
      </w:r>
      <w:r>
        <w:rPr>
          <w:rFonts w:eastAsia="Calibri"/>
        </w:rPr>
        <w:softHyphen/>
      </w:r>
      <w:r w:rsidRPr="00321B4B">
        <w:rPr>
          <w:rFonts w:eastAsia="Calibri"/>
        </w:rPr>
        <w:t xml:space="preserve">projektis </w:t>
      </w:r>
      <w:r w:rsidRPr="00CD5B0F">
        <w:rPr>
          <w:rFonts w:eastAsia="Calibri"/>
        </w:rPr>
        <w:t>igal üksikjuhul</w:t>
      </w:r>
      <w:r w:rsidRPr="00321B4B">
        <w:rPr>
          <w:rFonts w:eastAsia="Calibri"/>
        </w:rPr>
        <w:t xml:space="preserve"> eraldi </w:t>
      </w:r>
      <w:r w:rsidR="009D435D" w:rsidRPr="00F063FB">
        <w:rPr>
          <w:rFonts w:eastAsia="Calibri"/>
          <w:highlight w:val="yellow"/>
        </w:rPr>
        <w:t>riskide hindamise</w:t>
      </w:r>
      <w:r w:rsidR="009D435D">
        <w:rPr>
          <w:rFonts w:eastAsia="Calibri"/>
        </w:rPr>
        <w:t xml:space="preserve"> (</w:t>
      </w:r>
      <w:r w:rsidR="009D435D" w:rsidRPr="00F063FB">
        <w:rPr>
          <w:rFonts w:eastAsia="Calibri"/>
          <w:highlight w:val="yellow"/>
        </w:rPr>
        <w:t xml:space="preserve">vt </w:t>
      </w:r>
      <w:r w:rsidR="00235784">
        <w:rPr>
          <w:rFonts w:eastAsia="Calibri"/>
          <w:highlight w:val="yellow"/>
        </w:rPr>
        <w:t>eelnõu</w:t>
      </w:r>
      <w:r w:rsidR="009D435D" w:rsidRPr="00F063FB">
        <w:rPr>
          <w:rFonts w:eastAsia="Calibri"/>
          <w:highlight w:val="yellow"/>
        </w:rPr>
        <w:t xml:space="preserve"> § 1</w:t>
      </w:r>
      <w:r w:rsidR="00235784">
        <w:rPr>
          <w:rFonts w:eastAsia="Calibri"/>
          <w:highlight w:val="yellow"/>
        </w:rPr>
        <w:t>0</w:t>
      </w:r>
      <w:r w:rsidR="009D435D" w:rsidRPr="00F063FB">
        <w:rPr>
          <w:rFonts w:eastAsia="Calibri"/>
          <w:highlight w:val="yellow"/>
        </w:rPr>
        <w:t xml:space="preserve"> lg 3 selgitust</w:t>
      </w:r>
      <w:r w:rsidR="009D435D">
        <w:rPr>
          <w:rFonts w:eastAsia="Calibri"/>
        </w:rPr>
        <w:t>)</w:t>
      </w:r>
      <w:r w:rsidR="009D435D" w:rsidRPr="00321B4B">
        <w:rPr>
          <w:rFonts w:eastAsia="Calibri"/>
        </w:rPr>
        <w:t xml:space="preserve"> </w:t>
      </w:r>
      <w:r w:rsidRPr="00321B4B">
        <w:rPr>
          <w:rFonts w:eastAsia="Calibri"/>
        </w:rPr>
        <w:t xml:space="preserve">põhjal, kuid see ei tohi olla väiksem kui </w:t>
      </w:r>
      <w:r>
        <w:rPr>
          <w:rFonts w:eastAsia="Calibri"/>
        </w:rPr>
        <w:t xml:space="preserve">sama paragrahvi </w:t>
      </w:r>
      <w:r w:rsidRPr="00321B4B">
        <w:rPr>
          <w:rFonts w:eastAsia="Calibri"/>
        </w:rPr>
        <w:t xml:space="preserve">lõikes </w:t>
      </w:r>
      <w:r>
        <w:rPr>
          <w:rFonts w:eastAsia="Calibri"/>
        </w:rPr>
        <w:t xml:space="preserve">1 </w:t>
      </w:r>
      <w:r w:rsidRPr="00321B4B">
        <w:rPr>
          <w:rFonts w:eastAsia="Calibri"/>
        </w:rPr>
        <w:t xml:space="preserve">sätestatud </w:t>
      </w:r>
      <w:r>
        <w:rPr>
          <w:rFonts w:eastAsia="Calibri"/>
        </w:rPr>
        <w:t xml:space="preserve">kolme- kuni </w:t>
      </w:r>
      <w:r w:rsidRPr="00321B4B">
        <w:rPr>
          <w:rFonts w:eastAsia="Calibri"/>
        </w:rPr>
        <w:t xml:space="preserve">kümnetonnise mahutavusega </w:t>
      </w:r>
      <w:r>
        <w:rPr>
          <w:rFonts w:eastAsia="Calibri"/>
        </w:rPr>
        <w:t>ammoniaagi</w:t>
      </w:r>
      <w:r w:rsidRPr="00CD5B0F">
        <w:rPr>
          <w:rFonts w:eastAsia="Calibri"/>
        </w:rPr>
        <w:t>rajatise</w:t>
      </w:r>
      <w:r w:rsidRPr="00321B4B">
        <w:rPr>
          <w:rFonts w:eastAsia="Calibri"/>
        </w:rPr>
        <w:t xml:space="preserve"> </w:t>
      </w:r>
      <w:r>
        <w:rPr>
          <w:rFonts w:eastAsia="Calibri"/>
        </w:rPr>
        <w:t>kuja</w:t>
      </w:r>
      <w:r w:rsidRPr="00321B4B">
        <w:rPr>
          <w:rFonts w:eastAsia="Calibri"/>
        </w:rPr>
        <w:t>.</w:t>
      </w:r>
    </w:p>
    <w:p w14:paraId="40585895" w14:textId="77777777" w:rsidR="00F451D4" w:rsidRPr="00B701C8" w:rsidRDefault="00F451D4" w:rsidP="00F451D4">
      <w:pPr>
        <w:pStyle w:val="NoSpacing"/>
        <w:jc w:val="both"/>
        <w:rPr>
          <w:rFonts w:eastAsia="Calibri"/>
        </w:rPr>
      </w:pPr>
    </w:p>
    <w:p w14:paraId="184B16AF" w14:textId="4040789C" w:rsidR="00F451D4" w:rsidRDefault="00F451D4" w:rsidP="00F451D4">
      <w:pPr>
        <w:pStyle w:val="NoSpacing"/>
        <w:jc w:val="both"/>
        <w:rPr>
          <w:rFonts w:eastAsia="Calibri"/>
          <w:color w:val="000000"/>
        </w:rPr>
      </w:pPr>
      <w:bookmarkStart w:id="23" w:name="_Toc149306204"/>
      <w:r w:rsidRPr="00537D11">
        <w:rPr>
          <w:rStyle w:val="Heading3Char"/>
        </w:rPr>
        <w:t xml:space="preserve">Eelnõu </w:t>
      </w:r>
      <w:bookmarkStart w:id="24" w:name="_Hlk112931261"/>
      <w:r w:rsidRPr="00537D11">
        <w:rPr>
          <w:rStyle w:val="Heading3Char"/>
        </w:rPr>
        <w:t>§-s 1</w:t>
      </w:r>
      <w:bookmarkEnd w:id="23"/>
      <w:r w:rsidR="00235784">
        <w:rPr>
          <w:rStyle w:val="Heading3Char"/>
        </w:rPr>
        <w:t>2</w:t>
      </w:r>
      <w:r w:rsidRPr="00B701C8">
        <w:rPr>
          <w:rFonts w:eastAsia="Calibri"/>
          <w:bCs/>
          <w:color w:val="000000"/>
        </w:rPr>
        <w:t xml:space="preserve"> </w:t>
      </w:r>
      <w:bookmarkEnd w:id="24"/>
      <w:r w:rsidRPr="00B701C8">
        <w:rPr>
          <w:rFonts w:eastAsia="Calibri"/>
          <w:color w:val="000000"/>
        </w:rPr>
        <w:t xml:space="preserve">sätestatakse nõuded </w:t>
      </w:r>
      <w:r>
        <w:rPr>
          <w:rFonts w:eastAsia="Calibri"/>
          <w:color w:val="000000"/>
        </w:rPr>
        <w:t>h</w:t>
      </w:r>
      <w:r w:rsidRPr="00EF2AE3">
        <w:rPr>
          <w:rFonts w:eastAsia="Calibri"/>
          <w:color w:val="000000"/>
        </w:rPr>
        <w:t>apniku hoiukoh</w:t>
      </w:r>
      <w:r>
        <w:rPr>
          <w:rFonts w:eastAsia="Calibri"/>
          <w:color w:val="000000"/>
        </w:rPr>
        <w:t>ale ja</w:t>
      </w:r>
      <w:r w:rsidRPr="00EF2AE3">
        <w:rPr>
          <w:rFonts w:eastAsia="Calibri"/>
          <w:color w:val="000000"/>
        </w:rPr>
        <w:t xml:space="preserve"> </w:t>
      </w:r>
      <w:r>
        <w:rPr>
          <w:rFonts w:eastAsia="Calibri"/>
          <w:color w:val="000000"/>
        </w:rPr>
        <w:t xml:space="preserve">selle </w:t>
      </w:r>
      <w:r w:rsidRPr="00EF2AE3">
        <w:rPr>
          <w:rFonts w:eastAsia="Calibri"/>
          <w:color w:val="000000"/>
        </w:rPr>
        <w:t>kuja</w:t>
      </w:r>
      <w:r>
        <w:rPr>
          <w:rFonts w:eastAsia="Calibri"/>
          <w:color w:val="000000"/>
        </w:rPr>
        <w:t>le.</w:t>
      </w:r>
    </w:p>
    <w:p w14:paraId="13B20727" w14:textId="77777777" w:rsidR="00F451D4" w:rsidRPr="00B701C8" w:rsidRDefault="00F451D4" w:rsidP="00F451D4">
      <w:pPr>
        <w:pStyle w:val="NoSpacing"/>
        <w:jc w:val="both"/>
        <w:rPr>
          <w:rFonts w:eastAsia="Calibri"/>
        </w:rPr>
      </w:pPr>
    </w:p>
    <w:p w14:paraId="2FC912E6" w14:textId="24B1CB8F" w:rsidR="00F451D4" w:rsidRPr="00754014" w:rsidRDefault="00F451D4" w:rsidP="00F451D4">
      <w:pPr>
        <w:pStyle w:val="NoSpacing"/>
        <w:jc w:val="both"/>
        <w:rPr>
          <w:rFonts w:eastAsia="Calibri"/>
        </w:rPr>
      </w:pPr>
      <w:r w:rsidRPr="00240B71">
        <w:rPr>
          <w:rFonts w:eastAsia="Calibri"/>
          <w:b/>
          <w:color w:val="0070C0"/>
        </w:rPr>
        <w:t>Lõike 1</w:t>
      </w:r>
      <w:r w:rsidRPr="004E5223">
        <w:rPr>
          <w:rFonts w:eastAsia="Calibri"/>
        </w:rPr>
        <w:t xml:space="preserve"> </w:t>
      </w:r>
      <w:r w:rsidRPr="00B701C8">
        <w:rPr>
          <w:rFonts w:eastAsia="Calibri"/>
        </w:rPr>
        <w:t>kohaselt</w:t>
      </w:r>
      <w:r>
        <w:rPr>
          <w:rFonts w:eastAsia="Calibri"/>
        </w:rPr>
        <w:t xml:space="preserve"> ei tohi h</w:t>
      </w:r>
      <w:r w:rsidRPr="00754014">
        <w:rPr>
          <w:rFonts w:eastAsia="Calibri"/>
        </w:rPr>
        <w:t xml:space="preserve">apniku hoiukoht paikneda </w:t>
      </w:r>
      <w:r w:rsidRPr="001214E8">
        <w:rPr>
          <w:rFonts w:eastAsia="Calibri"/>
        </w:rPr>
        <w:t>põlevmaterjalist</w:t>
      </w:r>
      <w:r w:rsidRPr="00754014">
        <w:rPr>
          <w:rFonts w:eastAsia="Calibri"/>
        </w:rPr>
        <w:t xml:space="preserve"> hoone seina, põlev</w:t>
      </w:r>
      <w:r>
        <w:rPr>
          <w:rFonts w:eastAsia="Calibri"/>
        </w:rPr>
        <w:softHyphen/>
      </w:r>
      <w:r w:rsidRPr="00754014">
        <w:rPr>
          <w:rFonts w:eastAsia="Calibri"/>
        </w:rPr>
        <w:t xml:space="preserve">materjali </w:t>
      </w:r>
      <w:r>
        <w:rPr>
          <w:rFonts w:eastAsia="Calibri"/>
        </w:rPr>
        <w:t>ega</w:t>
      </w:r>
      <w:r w:rsidRPr="00754014">
        <w:rPr>
          <w:rFonts w:eastAsia="Calibri"/>
        </w:rPr>
        <w:t xml:space="preserve"> süttimisallika läheduses ega </w:t>
      </w:r>
      <w:r>
        <w:rPr>
          <w:rFonts w:eastAsia="Calibri"/>
        </w:rPr>
        <w:t xml:space="preserve">sellise </w:t>
      </w:r>
      <w:r w:rsidRPr="00754014">
        <w:rPr>
          <w:rFonts w:eastAsia="Calibri"/>
        </w:rPr>
        <w:t>tulekoormuse lähedus</w:t>
      </w:r>
      <w:r>
        <w:rPr>
          <w:rFonts w:eastAsia="Calibri"/>
        </w:rPr>
        <w:t>es</w:t>
      </w:r>
      <w:r w:rsidRPr="00754014">
        <w:rPr>
          <w:rFonts w:eastAsia="Calibri"/>
        </w:rPr>
        <w:t xml:space="preserve">, mis võib põhjustada intensiivset soojuskiirgust. </w:t>
      </w:r>
      <w:r w:rsidRPr="00340B5D">
        <w:rPr>
          <w:rFonts w:eastAsia="Calibri"/>
        </w:rPr>
        <w:t>Suureneva hapnikukontsentratsiooni peamine oht on, et põlev</w:t>
      </w:r>
      <w:r>
        <w:rPr>
          <w:rFonts w:eastAsia="Calibri"/>
        </w:rPr>
        <w:softHyphen/>
      </w:r>
      <w:r w:rsidRPr="00340B5D">
        <w:rPr>
          <w:rFonts w:eastAsia="Calibri"/>
        </w:rPr>
        <w:t>materjal sütti</w:t>
      </w:r>
      <w:r>
        <w:rPr>
          <w:rFonts w:eastAsia="Calibri"/>
        </w:rPr>
        <w:t>b</w:t>
      </w:r>
      <w:r w:rsidRPr="00340B5D">
        <w:rPr>
          <w:rFonts w:eastAsia="Calibri"/>
        </w:rPr>
        <w:t xml:space="preserve"> kergemini</w:t>
      </w:r>
      <w:r>
        <w:rPr>
          <w:rFonts w:eastAsia="Calibri"/>
        </w:rPr>
        <w:t xml:space="preserve"> ja</w:t>
      </w:r>
      <w:r w:rsidRPr="00340B5D">
        <w:rPr>
          <w:rFonts w:eastAsia="Calibri"/>
        </w:rPr>
        <w:t xml:space="preserve"> põle</w:t>
      </w:r>
      <w:r>
        <w:rPr>
          <w:rFonts w:eastAsia="Calibri"/>
        </w:rPr>
        <w:t>b</w:t>
      </w:r>
      <w:r w:rsidRPr="00340B5D">
        <w:rPr>
          <w:rFonts w:eastAsia="Calibri"/>
        </w:rPr>
        <w:t xml:space="preserve"> ägedamalt </w:t>
      </w:r>
      <w:r>
        <w:rPr>
          <w:rFonts w:eastAsia="Calibri"/>
        </w:rPr>
        <w:t>ning</w:t>
      </w:r>
      <w:r w:rsidRPr="00340B5D">
        <w:rPr>
          <w:rFonts w:eastAsia="Calibri"/>
        </w:rPr>
        <w:t xml:space="preserve"> tuli levib kiiremini. Vedela hapniku pritsmed põhjustavad </w:t>
      </w:r>
      <w:r>
        <w:rPr>
          <w:rFonts w:eastAsia="Calibri"/>
        </w:rPr>
        <w:t xml:space="preserve">ka </w:t>
      </w:r>
      <w:r w:rsidRPr="00340B5D">
        <w:rPr>
          <w:rFonts w:eastAsia="Calibri"/>
        </w:rPr>
        <w:t>külmakahjustusi.</w:t>
      </w:r>
      <w:r w:rsidR="00E673F6">
        <w:rPr>
          <w:rFonts w:eastAsia="Calibri"/>
        </w:rPr>
        <w:t xml:space="preserve"> </w:t>
      </w:r>
      <w:r w:rsidR="00E673F6" w:rsidRPr="0082499D">
        <w:rPr>
          <w:rFonts w:eastAsia="Calibri"/>
          <w:bCs/>
          <w:color w:val="000000"/>
          <w:highlight w:val="yellow"/>
        </w:rPr>
        <w:t>Hapniku hoiukoha kuja kehtestamisel on arvesse võetud Soome Kemikaaliameti (Tukes) juhendit</w:t>
      </w:r>
      <w:r w:rsidR="00E673F6" w:rsidRPr="0082499D">
        <w:rPr>
          <w:rStyle w:val="FootnoteReference"/>
          <w:rFonts w:eastAsia="Calibri"/>
          <w:bCs/>
          <w:color w:val="000000"/>
          <w:highlight w:val="yellow"/>
        </w:rPr>
        <w:footnoteReference w:id="15"/>
      </w:r>
      <w:r w:rsidR="00E673F6" w:rsidRPr="0082499D">
        <w:rPr>
          <w:rFonts w:eastAsia="Calibri"/>
          <w:bCs/>
          <w:color w:val="000000"/>
          <w:highlight w:val="yellow"/>
        </w:rPr>
        <w:t>, kuna praktika on Eestile sarnane.</w:t>
      </w:r>
    </w:p>
    <w:p w14:paraId="170F875B" w14:textId="77777777" w:rsidR="00272081" w:rsidRDefault="00272081" w:rsidP="00F451D4">
      <w:pPr>
        <w:pStyle w:val="NoSpacing"/>
        <w:jc w:val="both"/>
        <w:rPr>
          <w:rFonts w:eastAsia="Calibri"/>
          <w:b/>
          <w:bCs/>
          <w:color w:val="0070C0"/>
        </w:rPr>
      </w:pPr>
    </w:p>
    <w:p w14:paraId="64C976E4" w14:textId="6D046746" w:rsidR="00F451D4" w:rsidRPr="00754014" w:rsidRDefault="00F451D4" w:rsidP="00F451D4">
      <w:pPr>
        <w:pStyle w:val="NoSpacing"/>
        <w:jc w:val="both"/>
        <w:rPr>
          <w:rFonts w:eastAsia="Calibri"/>
        </w:rPr>
      </w:pPr>
      <w:r w:rsidRPr="00240B71">
        <w:rPr>
          <w:rFonts w:eastAsia="Calibri"/>
          <w:b/>
          <w:bCs/>
          <w:color w:val="0070C0"/>
        </w:rPr>
        <w:t>Lõikes 2</w:t>
      </w:r>
      <w:r w:rsidRPr="00240B71">
        <w:rPr>
          <w:rFonts w:eastAsia="Calibri"/>
          <w:color w:val="0070C0"/>
        </w:rPr>
        <w:t xml:space="preserve"> </w:t>
      </w:r>
      <w:r>
        <w:rPr>
          <w:rFonts w:eastAsia="Calibri"/>
        </w:rPr>
        <w:t>määratakse, kui suur peab h</w:t>
      </w:r>
      <w:r w:rsidRPr="00754014">
        <w:rPr>
          <w:rFonts w:eastAsia="Calibri"/>
        </w:rPr>
        <w:t xml:space="preserve">apniku hoiukoha kuja </w:t>
      </w:r>
      <w:r>
        <w:rPr>
          <w:rFonts w:eastAsia="Calibri"/>
        </w:rPr>
        <w:t xml:space="preserve">olema </w:t>
      </w:r>
      <w:r w:rsidR="00272081" w:rsidRPr="00272081">
        <w:rPr>
          <w:rFonts w:eastAsia="Calibri"/>
          <w:highlight w:val="yellow"/>
        </w:rPr>
        <w:t>suurõnnetuse ohuga ettevõttest, ohtlikust ettevõttest, suure kasutatavusega sõiduteest, elamust, raviasutusest, majutusasutusest, haridusasutusest, kogunemiskohast või muust samalaadsest hoiukoha tegevusega mitteseotud hoonest</w:t>
      </w:r>
      <w:r w:rsidRPr="00272081">
        <w:rPr>
          <w:rFonts w:eastAsia="Calibri"/>
          <w:highlight w:val="yellow"/>
        </w:rPr>
        <w:t>.</w:t>
      </w:r>
      <w:r w:rsidRPr="00340B5D">
        <w:t xml:space="preserve"> </w:t>
      </w:r>
      <w:r>
        <w:rPr>
          <w:rFonts w:eastAsia="Calibri"/>
        </w:rPr>
        <w:t>Kuja</w:t>
      </w:r>
      <w:r w:rsidRPr="00340B5D">
        <w:rPr>
          <w:rFonts w:eastAsia="Calibri"/>
        </w:rPr>
        <w:t xml:space="preserve"> määramisel tuleb võtta arvesse ka </w:t>
      </w:r>
      <w:r>
        <w:rPr>
          <w:rFonts w:eastAsia="Calibri"/>
        </w:rPr>
        <w:t>hapniku hoiukoha</w:t>
      </w:r>
      <w:r w:rsidRPr="00340B5D">
        <w:rPr>
          <w:rFonts w:eastAsia="Calibri"/>
        </w:rPr>
        <w:t xml:space="preserve"> toruliitmikke ja turvaventiile, millest võib tekkida leke. Euroopa Tööstusgaaside Assotsiatsiooni 2006. aasta soovituse kohaselt ei ole alla 25% hapnikutase välitingimustes ohtlik</w:t>
      </w:r>
      <w:r>
        <w:rPr>
          <w:rFonts w:eastAsia="Calibri"/>
        </w:rPr>
        <w:t>.</w:t>
      </w:r>
      <w:r>
        <w:rPr>
          <w:rStyle w:val="FootnoteReference"/>
          <w:rFonts w:eastAsia="Calibri"/>
        </w:rPr>
        <w:footnoteReference w:id="16"/>
      </w:r>
      <w:r w:rsidRPr="00340B5D">
        <w:rPr>
          <w:rFonts w:eastAsia="Calibri"/>
        </w:rPr>
        <w:t xml:space="preserve"> Vedela hapniku basseinist aurustuv külm aur moodustab nähtava udu</w:t>
      </w:r>
      <w:r>
        <w:rPr>
          <w:rFonts w:eastAsia="Calibri"/>
        </w:rPr>
        <w:softHyphen/>
      </w:r>
      <w:r w:rsidRPr="00340B5D">
        <w:rPr>
          <w:rFonts w:eastAsia="Calibri"/>
        </w:rPr>
        <w:t>pilve</w:t>
      </w:r>
      <w:r>
        <w:rPr>
          <w:rFonts w:eastAsia="Calibri"/>
        </w:rPr>
        <w:t>, kui</w:t>
      </w:r>
      <w:r w:rsidRPr="00340B5D">
        <w:rPr>
          <w:rFonts w:eastAsia="Calibri"/>
        </w:rPr>
        <w:t xml:space="preserve"> õhuniiskus kondenseeru</w:t>
      </w:r>
      <w:r>
        <w:rPr>
          <w:rFonts w:eastAsia="Calibri"/>
        </w:rPr>
        <w:t>b</w:t>
      </w:r>
      <w:r w:rsidRPr="00340B5D">
        <w:rPr>
          <w:rFonts w:eastAsia="Calibri"/>
        </w:rPr>
        <w:t xml:space="preserve">. Hapnikukontsentratsioon väljaspool nähtavat </w:t>
      </w:r>
      <w:r>
        <w:rPr>
          <w:rFonts w:eastAsia="Calibri"/>
        </w:rPr>
        <w:t>udu</w:t>
      </w:r>
      <w:r w:rsidRPr="00340B5D">
        <w:rPr>
          <w:rFonts w:eastAsia="Calibri"/>
        </w:rPr>
        <w:t>pilve on tavaliselt alla 25% ja seega ei kujuta endast ohtu.</w:t>
      </w:r>
      <w:r>
        <w:rPr>
          <w:rFonts w:eastAsia="Calibri"/>
        </w:rPr>
        <w:t xml:space="preserve"> </w:t>
      </w:r>
      <w:r w:rsidRPr="00235784">
        <w:rPr>
          <w:rFonts w:eastAsia="Calibri"/>
          <w:highlight w:val="yellow"/>
        </w:rPr>
        <w:t>Mahutavuse arvutamist on käsitletud</w:t>
      </w:r>
      <w:r w:rsidRPr="00235784">
        <w:rPr>
          <w:highlight w:val="yellow"/>
        </w:rPr>
        <w:t xml:space="preserve"> </w:t>
      </w:r>
      <w:r w:rsidRPr="00235784">
        <w:rPr>
          <w:rFonts w:eastAsia="Calibri"/>
          <w:highlight w:val="yellow"/>
        </w:rPr>
        <w:t>§ 1</w:t>
      </w:r>
      <w:r w:rsidR="00235784" w:rsidRPr="00235784">
        <w:rPr>
          <w:rFonts w:eastAsia="Calibri"/>
          <w:highlight w:val="yellow"/>
        </w:rPr>
        <w:t>0</w:t>
      </w:r>
      <w:r w:rsidRPr="00235784">
        <w:rPr>
          <w:rFonts w:eastAsia="Calibri"/>
          <w:highlight w:val="yellow"/>
        </w:rPr>
        <w:t xml:space="preserve"> lõike 1 selgituses.</w:t>
      </w:r>
    </w:p>
    <w:p w14:paraId="1FE2EAB0" w14:textId="77777777" w:rsidR="00F451D4" w:rsidRDefault="00F451D4" w:rsidP="00F451D4">
      <w:pPr>
        <w:pStyle w:val="NoSpacing"/>
        <w:jc w:val="both"/>
        <w:rPr>
          <w:rFonts w:eastAsia="Calibri"/>
          <w:b/>
          <w:bCs/>
        </w:rPr>
      </w:pPr>
    </w:p>
    <w:p w14:paraId="5F521DF4" w14:textId="4B8274AF" w:rsidR="00F451D4" w:rsidRPr="002309F8" w:rsidRDefault="00F451D4" w:rsidP="00F451D4">
      <w:pPr>
        <w:pStyle w:val="NoSpacing"/>
        <w:jc w:val="both"/>
        <w:rPr>
          <w:rFonts w:eastAsia="Calibri"/>
        </w:rPr>
      </w:pPr>
      <w:r w:rsidRPr="00240B71">
        <w:rPr>
          <w:rFonts w:eastAsia="Calibri"/>
          <w:b/>
          <w:bCs/>
          <w:color w:val="0070C0"/>
        </w:rPr>
        <w:t>Lõike 3</w:t>
      </w:r>
      <w:r w:rsidRPr="004E5223">
        <w:rPr>
          <w:rFonts w:eastAsia="Calibri"/>
        </w:rPr>
        <w:t xml:space="preserve"> </w:t>
      </w:r>
      <w:r>
        <w:rPr>
          <w:rFonts w:eastAsia="Calibri"/>
        </w:rPr>
        <w:t xml:space="preserve">kohaselt on hapniku hoiukoha kuja eelnõu tähenduses </w:t>
      </w:r>
      <w:r w:rsidRPr="002309F8">
        <w:rPr>
          <w:rFonts w:eastAsia="Calibri"/>
        </w:rPr>
        <w:t xml:space="preserve">kõige väiksem lubatud kaugus </w:t>
      </w:r>
      <w:r w:rsidR="00B85AB8" w:rsidRPr="00B85AB8">
        <w:rPr>
          <w:rFonts w:eastAsia="Calibri"/>
          <w:highlight w:val="yellow"/>
        </w:rPr>
        <w:t xml:space="preserve">suurõnnetuse ohuga ettevõttest, ohtlikust ettevõttest, suure </w:t>
      </w:r>
      <w:r w:rsidR="00302E71">
        <w:rPr>
          <w:rFonts w:eastAsia="Calibri"/>
          <w:highlight w:val="yellow"/>
        </w:rPr>
        <w:t>liiklustihedusega</w:t>
      </w:r>
      <w:r w:rsidR="00302E71" w:rsidRPr="00B85AB8">
        <w:rPr>
          <w:rFonts w:eastAsia="Calibri"/>
          <w:highlight w:val="yellow"/>
        </w:rPr>
        <w:t xml:space="preserve"> </w:t>
      </w:r>
      <w:r w:rsidR="00B85AB8" w:rsidRPr="00B85AB8">
        <w:rPr>
          <w:rFonts w:eastAsia="Calibri"/>
          <w:highlight w:val="yellow"/>
        </w:rPr>
        <w:t>sõiduteest, elamust, raviasutusest, majutusasutusest, haridusasutusest, kogunemiskohast või muust samalaadsest hoiukoha tegevusega mitteseotud hoonest</w:t>
      </w:r>
      <w:r w:rsidRPr="00B85AB8">
        <w:rPr>
          <w:rFonts w:eastAsia="Calibri"/>
          <w:highlight w:val="yellow"/>
        </w:rPr>
        <w:t>.</w:t>
      </w:r>
      <w:r w:rsidR="00B85AB8" w:rsidRPr="00B85AB8">
        <w:rPr>
          <w:rFonts w:eastAsia="Calibri"/>
          <w:highlight w:val="yellow"/>
        </w:rPr>
        <w:t xml:space="preserve"> Tegemist on selgitava sättega, mida tuleb lugeda koosmõjus lõikega 2.</w:t>
      </w:r>
    </w:p>
    <w:p w14:paraId="6C54066F" w14:textId="77777777" w:rsidR="00F451D4" w:rsidRPr="00754014" w:rsidRDefault="00F451D4" w:rsidP="00F451D4">
      <w:pPr>
        <w:pStyle w:val="NoSpacing"/>
        <w:jc w:val="both"/>
        <w:rPr>
          <w:rFonts w:eastAsia="Calibri"/>
        </w:rPr>
      </w:pPr>
    </w:p>
    <w:p w14:paraId="6E87C6A2" w14:textId="725F797E" w:rsidR="00F451D4" w:rsidRPr="00754014" w:rsidRDefault="00F451D4" w:rsidP="00F451D4">
      <w:pPr>
        <w:pStyle w:val="NoSpacing"/>
        <w:jc w:val="both"/>
        <w:rPr>
          <w:rFonts w:eastAsia="Calibri"/>
        </w:rPr>
      </w:pPr>
      <w:r w:rsidRPr="00240B71">
        <w:rPr>
          <w:rFonts w:eastAsia="Calibri"/>
          <w:b/>
          <w:bCs/>
          <w:color w:val="0070C0"/>
        </w:rPr>
        <w:t>Lõike 4</w:t>
      </w:r>
      <w:r w:rsidRPr="00240B71">
        <w:rPr>
          <w:rFonts w:eastAsia="Calibri"/>
          <w:color w:val="0070C0"/>
        </w:rPr>
        <w:t xml:space="preserve"> </w:t>
      </w:r>
      <w:r w:rsidRPr="004E5223">
        <w:rPr>
          <w:rFonts w:eastAsia="Calibri"/>
        </w:rPr>
        <w:t xml:space="preserve">kohaselt </w:t>
      </w:r>
      <w:r>
        <w:rPr>
          <w:rFonts w:eastAsia="Calibri"/>
        </w:rPr>
        <w:t>määratakse</w:t>
      </w:r>
      <w:r w:rsidRPr="00754014">
        <w:rPr>
          <w:rFonts w:eastAsia="Calibri"/>
        </w:rPr>
        <w:t xml:space="preserve"> </w:t>
      </w:r>
      <w:r>
        <w:rPr>
          <w:rFonts w:eastAsia="Calibri"/>
        </w:rPr>
        <w:t xml:space="preserve">üle </w:t>
      </w:r>
      <w:r w:rsidRPr="00754014">
        <w:rPr>
          <w:rFonts w:eastAsia="Calibri"/>
        </w:rPr>
        <w:t>35 m</w:t>
      </w:r>
      <w:r w:rsidRPr="00754014">
        <w:rPr>
          <w:rFonts w:eastAsia="Calibri"/>
          <w:vertAlign w:val="superscript"/>
        </w:rPr>
        <w:t>3</w:t>
      </w:r>
      <w:r w:rsidRPr="00754014">
        <w:rPr>
          <w:rFonts w:eastAsia="Calibri"/>
        </w:rPr>
        <w:t xml:space="preserve"> </w:t>
      </w:r>
      <w:r>
        <w:rPr>
          <w:rFonts w:eastAsia="Calibri"/>
        </w:rPr>
        <w:t xml:space="preserve">mahutavusega hapniku hoiukoha </w:t>
      </w:r>
      <w:r w:rsidRPr="00754014">
        <w:rPr>
          <w:rFonts w:eastAsia="Calibri"/>
        </w:rPr>
        <w:t xml:space="preserve">kuja ehitusprojektis </w:t>
      </w:r>
      <w:r w:rsidRPr="00681D83">
        <w:rPr>
          <w:rFonts w:eastAsia="Calibri"/>
        </w:rPr>
        <w:t>igal üksikjuhul</w:t>
      </w:r>
      <w:r w:rsidRPr="00754014">
        <w:rPr>
          <w:rFonts w:eastAsia="Calibri"/>
        </w:rPr>
        <w:t xml:space="preserve"> eraldi </w:t>
      </w:r>
      <w:r w:rsidR="009D435D" w:rsidRPr="009D435D">
        <w:rPr>
          <w:rFonts w:eastAsia="Calibri"/>
        </w:rPr>
        <w:t>riskide hindamise (</w:t>
      </w:r>
      <w:r w:rsidR="009D435D" w:rsidRPr="00F063FB">
        <w:rPr>
          <w:rFonts w:eastAsia="Calibri"/>
          <w:highlight w:val="yellow"/>
        </w:rPr>
        <w:t xml:space="preserve">vt </w:t>
      </w:r>
      <w:r w:rsidR="00235784">
        <w:rPr>
          <w:rFonts w:eastAsia="Calibri"/>
          <w:highlight w:val="yellow"/>
        </w:rPr>
        <w:t>eelnõu</w:t>
      </w:r>
      <w:r w:rsidR="009D435D" w:rsidRPr="00F063FB">
        <w:rPr>
          <w:rFonts w:eastAsia="Calibri"/>
          <w:highlight w:val="yellow"/>
        </w:rPr>
        <w:t xml:space="preserve"> § 1</w:t>
      </w:r>
      <w:r w:rsidR="00235784">
        <w:rPr>
          <w:rFonts w:eastAsia="Calibri"/>
          <w:highlight w:val="yellow"/>
        </w:rPr>
        <w:t>0</w:t>
      </w:r>
      <w:r w:rsidR="009D435D" w:rsidRPr="00F063FB">
        <w:rPr>
          <w:rFonts w:eastAsia="Calibri"/>
          <w:highlight w:val="yellow"/>
        </w:rPr>
        <w:t xml:space="preserve"> lg 3 selgitust</w:t>
      </w:r>
      <w:r w:rsidR="009D435D" w:rsidRPr="009D435D">
        <w:rPr>
          <w:rFonts w:eastAsia="Calibri"/>
        </w:rPr>
        <w:t xml:space="preserve">) </w:t>
      </w:r>
      <w:r w:rsidRPr="00754014">
        <w:rPr>
          <w:rFonts w:eastAsia="Calibri"/>
        </w:rPr>
        <w:t xml:space="preserve">põhjal, kuid see ei tohi olla väiksem kui </w:t>
      </w:r>
      <w:r>
        <w:rPr>
          <w:rFonts w:eastAsia="Calibri"/>
        </w:rPr>
        <w:t>40 meetrit</w:t>
      </w:r>
      <w:r w:rsidRPr="00754014">
        <w:rPr>
          <w:rFonts w:eastAsia="Calibri"/>
        </w:rPr>
        <w:t>.</w:t>
      </w:r>
    </w:p>
    <w:p w14:paraId="69DC2DDC" w14:textId="77777777" w:rsidR="00F451D4" w:rsidRPr="00754014" w:rsidRDefault="00F451D4" w:rsidP="00F451D4">
      <w:pPr>
        <w:pStyle w:val="NoSpacing"/>
        <w:jc w:val="both"/>
        <w:rPr>
          <w:rFonts w:eastAsia="Calibri"/>
        </w:rPr>
      </w:pPr>
    </w:p>
    <w:p w14:paraId="3AD67994" w14:textId="414686CF" w:rsidR="000D0219" w:rsidRPr="00B701C8" w:rsidRDefault="00F451D4" w:rsidP="000D0219">
      <w:pPr>
        <w:pStyle w:val="NoSpacing"/>
        <w:jc w:val="both"/>
        <w:rPr>
          <w:rFonts w:eastAsia="Calibri"/>
        </w:rPr>
      </w:pPr>
      <w:r w:rsidRPr="00240B71">
        <w:rPr>
          <w:rFonts w:eastAsia="Calibri"/>
          <w:b/>
          <w:bCs/>
          <w:color w:val="0070C0"/>
        </w:rPr>
        <w:t xml:space="preserve">Lõigete 5 </w:t>
      </w:r>
      <w:r w:rsidRPr="00240B71">
        <w:rPr>
          <w:rFonts w:eastAsia="Calibri"/>
        </w:rPr>
        <w:t>ja</w:t>
      </w:r>
      <w:r w:rsidRPr="00A96AF5">
        <w:rPr>
          <w:rFonts w:eastAsia="Calibri"/>
          <w:b/>
          <w:bCs/>
        </w:rPr>
        <w:t xml:space="preserve"> </w:t>
      </w:r>
      <w:r w:rsidRPr="00240B71">
        <w:rPr>
          <w:rFonts w:eastAsia="Calibri"/>
          <w:b/>
          <w:bCs/>
          <w:color w:val="0070C0"/>
        </w:rPr>
        <w:t>6</w:t>
      </w:r>
      <w:r w:rsidRPr="00240B71">
        <w:rPr>
          <w:rFonts w:eastAsia="Calibri"/>
          <w:color w:val="0070C0"/>
        </w:rPr>
        <w:t xml:space="preserve"> </w:t>
      </w:r>
      <w:r w:rsidRPr="004E5223">
        <w:rPr>
          <w:rFonts w:eastAsia="Calibri"/>
        </w:rPr>
        <w:t xml:space="preserve">kohaselt </w:t>
      </w:r>
      <w:r>
        <w:rPr>
          <w:rFonts w:eastAsia="Calibri"/>
        </w:rPr>
        <w:t>ei ladustata</w:t>
      </w:r>
      <w:r w:rsidRPr="00754014">
        <w:rPr>
          <w:rFonts w:eastAsia="Calibri"/>
        </w:rPr>
        <w:t xml:space="preserve"> </w:t>
      </w:r>
      <w:r>
        <w:rPr>
          <w:rFonts w:eastAsia="Calibri"/>
        </w:rPr>
        <w:t>e</w:t>
      </w:r>
      <w:r w:rsidRPr="00754014">
        <w:rPr>
          <w:rFonts w:eastAsia="Calibri"/>
        </w:rPr>
        <w:t xml:space="preserve">hitises ühes ruumis või laosektsioonis põlevgaasi koos hapnikuga, välja arvatud </w:t>
      </w:r>
      <w:r>
        <w:rPr>
          <w:rFonts w:eastAsia="Calibri"/>
        </w:rPr>
        <w:t>juhul</w:t>
      </w:r>
      <w:r w:rsidRPr="00754014">
        <w:rPr>
          <w:rFonts w:eastAsia="Calibri"/>
        </w:rPr>
        <w:t xml:space="preserve">, kui </w:t>
      </w:r>
      <w:r w:rsidRPr="00344703">
        <w:rPr>
          <w:rFonts w:eastAsia="Calibri"/>
        </w:rPr>
        <w:t>seadme</w:t>
      </w:r>
      <w:r w:rsidRPr="00754014">
        <w:rPr>
          <w:rFonts w:eastAsia="Calibri"/>
        </w:rPr>
        <w:t xml:space="preserve"> tööks on vaja korraga nii põlevgaasi kui ka hapnikku</w:t>
      </w:r>
      <w:r>
        <w:rPr>
          <w:rFonts w:eastAsia="Calibri"/>
        </w:rPr>
        <w:t>. H</w:t>
      </w:r>
      <w:r w:rsidRPr="00754014">
        <w:rPr>
          <w:rFonts w:eastAsia="Calibri"/>
        </w:rPr>
        <w:t xml:space="preserve">apnikuballoon </w:t>
      </w:r>
      <w:r>
        <w:rPr>
          <w:rFonts w:eastAsia="Calibri"/>
        </w:rPr>
        <w:t xml:space="preserve">ei tohi </w:t>
      </w:r>
      <w:r w:rsidRPr="00754014">
        <w:rPr>
          <w:rFonts w:eastAsia="Calibri"/>
        </w:rPr>
        <w:t xml:space="preserve">kokku puutuda rasva, õli </w:t>
      </w:r>
      <w:r>
        <w:rPr>
          <w:rFonts w:eastAsia="Calibri"/>
        </w:rPr>
        <w:t>ega</w:t>
      </w:r>
      <w:r w:rsidRPr="00754014">
        <w:rPr>
          <w:rFonts w:eastAsia="Calibri"/>
        </w:rPr>
        <w:t xml:space="preserve"> muu </w:t>
      </w:r>
      <w:r w:rsidR="002904B9" w:rsidRPr="002904B9">
        <w:rPr>
          <w:rFonts w:eastAsia="Calibri"/>
        </w:rPr>
        <w:t>tuleohtliku vedeliku ega tuleohtliku gaasig</w:t>
      </w:r>
      <w:r w:rsidR="002904B9">
        <w:rPr>
          <w:rFonts w:eastAsia="Calibri"/>
        </w:rPr>
        <w:t>a</w:t>
      </w:r>
      <w:r>
        <w:rPr>
          <w:rFonts w:eastAsia="Calibri"/>
        </w:rPr>
        <w:t xml:space="preserve">. </w:t>
      </w:r>
      <w:r w:rsidRPr="00771C42">
        <w:rPr>
          <w:rFonts w:eastAsia="Calibri"/>
        </w:rPr>
        <w:t xml:space="preserve">Ohtlike ainete eraldamine on </w:t>
      </w:r>
      <w:r>
        <w:rPr>
          <w:rFonts w:eastAsia="Calibri"/>
        </w:rPr>
        <w:t xml:space="preserve">äärmiselt </w:t>
      </w:r>
      <w:r w:rsidRPr="00771C42">
        <w:rPr>
          <w:rFonts w:eastAsia="Calibri"/>
        </w:rPr>
        <w:t>vajalik, et vältida isesüttimist, plahvatus</w:t>
      </w:r>
      <w:r>
        <w:rPr>
          <w:rFonts w:eastAsia="Calibri"/>
        </w:rPr>
        <w:t>t</w:t>
      </w:r>
      <w:r w:rsidRPr="00771C42">
        <w:rPr>
          <w:rFonts w:eastAsia="Calibri"/>
        </w:rPr>
        <w:t xml:space="preserve"> või tulekahju </w:t>
      </w:r>
      <w:r>
        <w:rPr>
          <w:rFonts w:eastAsia="Calibri"/>
        </w:rPr>
        <w:t xml:space="preserve">raskeid </w:t>
      </w:r>
      <w:r w:rsidRPr="00771C42">
        <w:rPr>
          <w:rFonts w:eastAsia="Calibri"/>
        </w:rPr>
        <w:t>tagajärg</w:t>
      </w:r>
      <w:r>
        <w:rPr>
          <w:rFonts w:eastAsia="Calibri"/>
        </w:rPr>
        <w:t>i</w:t>
      </w:r>
      <w:r w:rsidRPr="00771C42">
        <w:rPr>
          <w:rFonts w:eastAsia="Calibri"/>
        </w:rPr>
        <w:t>.</w:t>
      </w:r>
      <w:r w:rsidRPr="00B701C8">
        <w:rPr>
          <w:rFonts w:eastAsia="Calibri"/>
        </w:rPr>
        <w:t xml:space="preserve"> </w:t>
      </w:r>
      <w:r>
        <w:rPr>
          <w:rFonts w:eastAsia="Calibri"/>
        </w:rPr>
        <w:t>K</w:t>
      </w:r>
      <w:r w:rsidRPr="0041422D">
        <w:rPr>
          <w:rFonts w:eastAsia="Calibri"/>
        </w:rPr>
        <w:t xml:space="preserve">ui </w:t>
      </w:r>
      <w:r w:rsidRPr="00344703">
        <w:rPr>
          <w:rFonts w:eastAsia="Calibri"/>
        </w:rPr>
        <w:t>seadme</w:t>
      </w:r>
      <w:r w:rsidRPr="0041422D">
        <w:rPr>
          <w:rFonts w:eastAsia="Calibri"/>
        </w:rPr>
        <w:t xml:space="preserve"> tööks on vaja korraga nii põlevgaasi kui ka hapnikku</w:t>
      </w:r>
      <w:r>
        <w:rPr>
          <w:rFonts w:eastAsia="Calibri"/>
        </w:rPr>
        <w:t>, näiteks kasutatakse atsetüleeni ja hapnikku korraga keevitusel, on väga oluline järgida ohutusnõudeid, sest ainete segunemisel võivad olla rasked tagajärjed.</w:t>
      </w:r>
    </w:p>
    <w:p w14:paraId="7B6ECB3C" w14:textId="77777777" w:rsidR="00E673F6" w:rsidRDefault="00E673F6" w:rsidP="000D0219">
      <w:pPr>
        <w:pStyle w:val="NoSpacing"/>
        <w:jc w:val="both"/>
        <w:rPr>
          <w:rStyle w:val="Heading3Char"/>
        </w:rPr>
      </w:pPr>
      <w:bookmarkStart w:id="25" w:name="_Toc149306205"/>
    </w:p>
    <w:p w14:paraId="089F04A5" w14:textId="15B27CEA" w:rsidR="00272081" w:rsidRDefault="000D0219" w:rsidP="000D0219">
      <w:pPr>
        <w:pStyle w:val="NoSpacing"/>
        <w:jc w:val="both"/>
        <w:rPr>
          <w:rFonts w:eastAsia="Calibri"/>
          <w:color w:val="000000"/>
        </w:rPr>
      </w:pPr>
      <w:r w:rsidRPr="004E5223">
        <w:rPr>
          <w:rStyle w:val="Heading3Char"/>
        </w:rPr>
        <w:t>Eelnõu §-s 1</w:t>
      </w:r>
      <w:bookmarkEnd w:id="25"/>
      <w:r w:rsidR="00235784">
        <w:rPr>
          <w:rStyle w:val="Heading3Char"/>
        </w:rPr>
        <w:t>3</w:t>
      </w:r>
      <w:r w:rsidRPr="00B701C8">
        <w:rPr>
          <w:rFonts w:eastAsia="Calibri"/>
          <w:bCs/>
          <w:color w:val="000000"/>
        </w:rPr>
        <w:t xml:space="preserve"> </w:t>
      </w:r>
      <w:r>
        <w:rPr>
          <w:rFonts w:eastAsia="Calibri"/>
          <w:color w:val="000000"/>
        </w:rPr>
        <w:t xml:space="preserve">kehtestatakse rakendussätted. </w:t>
      </w:r>
    </w:p>
    <w:p w14:paraId="2E6C43A1" w14:textId="77777777" w:rsidR="00272081" w:rsidRDefault="00272081" w:rsidP="000D0219">
      <w:pPr>
        <w:pStyle w:val="NoSpacing"/>
        <w:jc w:val="both"/>
        <w:rPr>
          <w:rFonts w:eastAsia="Calibri"/>
          <w:color w:val="000000"/>
        </w:rPr>
      </w:pPr>
    </w:p>
    <w:p w14:paraId="08010D96" w14:textId="2E4D7DE9" w:rsidR="00272081" w:rsidRDefault="00272081" w:rsidP="000D0219">
      <w:pPr>
        <w:pStyle w:val="NoSpacing"/>
        <w:jc w:val="both"/>
        <w:rPr>
          <w:rFonts w:eastAsia="Calibri"/>
        </w:rPr>
      </w:pPr>
      <w:r w:rsidRPr="00B85AB8">
        <w:rPr>
          <w:rFonts w:eastAsia="Calibri"/>
          <w:b/>
          <w:bCs/>
          <w:color w:val="0070C0"/>
          <w:highlight w:val="yellow"/>
        </w:rPr>
        <w:t xml:space="preserve">Lõike 1 </w:t>
      </w:r>
      <w:r w:rsidRPr="00B85AB8">
        <w:rPr>
          <w:rFonts w:eastAsia="Calibri"/>
          <w:highlight w:val="yellow"/>
        </w:rPr>
        <w:t>kohaselt tuleb määruse lisa 3 kasutusele</w:t>
      </w:r>
      <w:r w:rsidR="00E70902">
        <w:rPr>
          <w:rFonts w:eastAsia="Calibri"/>
          <w:highlight w:val="yellow"/>
        </w:rPr>
        <w:t>võtmine tagada</w:t>
      </w:r>
      <w:r w:rsidRPr="00B85AB8">
        <w:rPr>
          <w:rFonts w:eastAsia="Calibri"/>
          <w:highlight w:val="yellow"/>
        </w:rPr>
        <w:t xml:space="preserve"> hiljemalt 1. jaanuaril 2025. aastal</w:t>
      </w:r>
      <w:r w:rsidR="00CA3790" w:rsidRPr="00B85AB8">
        <w:rPr>
          <w:rFonts w:eastAsia="Calibri"/>
          <w:highlight w:val="yellow"/>
        </w:rPr>
        <w:t>, kuid</w:t>
      </w:r>
      <w:r w:rsidR="00CA3790" w:rsidRPr="00CA3790">
        <w:rPr>
          <w:rFonts w:eastAsia="Calibri"/>
          <w:highlight w:val="yellow"/>
        </w:rPr>
        <w:t xml:space="preserve"> </w:t>
      </w:r>
      <w:r w:rsidR="00CA3790">
        <w:rPr>
          <w:rFonts w:eastAsia="Calibri"/>
          <w:highlight w:val="yellow"/>
        </w:rPr>
        <w:t xml:space="preserve">siiski </w:t>
      </w:r>
      <w:r w:rsidR="00CA3790" w:rsidRPr="00B85AB8">
        <w:rPr>
          <w:rFonts w:eastAsia="Calibri"/>
          <w:highlight w:val="yellow"/>
        </w:rPr>
        <w:t>esimesel võimalusel</w:t>
      </w:r>
      <w:r w:rsidRPr="00B85AB8">
        <w:rPr>
          <w:rFonts w:eastAsia="Calibri"/>
          <w:highlight w:val="yellow"/>
        </w:rPr>
        <w:t xml:space="preserve">. </w:t>
      </w:r>
      <w:r w:rsidR="00E70902">
        <w:rPr>
          <w:rFonts w:eastAsia="Calibri"/>
          <w:highlight w:val="yellow"/>
        </w:rPr>
        <w:t>Määruse l</w:t>
      </w:r>
      <w:r w:rsidRPr="00B85AB8">
        <w:rPr>
          <w:rFonts w:eastAsia="Calibri"/>
          <w:highlight w:val="yellow"/>
        </w:rPr>
        <w:t>isas 3 on määratud ohtlike ainete ühtesobivusnõuded ja se</w:t>
      </w:r>
      <w:r w:rsidR="00BF4F42">
        <w:rPr>
          <w:rFonts w:eastAsia="Calibri"/>
          <w:highlight w:val="yellow"/>
        </w:rPr>
        <w:t>lles</w:t>
      </w:r>
      <w:r w:rsidRPr="00B85AB8">
        <w:rPr>
          <w:rFonts w:eastAsia="Calibri"/>
          <w:highlight w:val="yellow"/>
        </w:rPr>
        <w:t xml:space="preserve"> on võrreldes keh</w:t>
      </w:r>
      <w:r w:rsidR="00BF4F42">
        <w:rPr>
          <w:rFonts w:eastAsia="Calibri"/>
          <w:highlight w:val="yellow"/>
        </w:rPr>
        <w:t>t</w:t>
      </w:r>
      <w:r w:rsidRPr="00B85AB8">
        <w:rPr>
          <w:rFonts w:eastAsia="Calibri"/>
          <w:highlight w:val="yellow"/>
        </w:rPr>
        <w:t>i</w:t>
      </w:r>
      <w:r w:rsidR="00BF4F42">
        <w:rPr>
          <w:rFonts w:eastAsia="Calibri"/>
          <w:highlight w:val="yellow"/>
        </w:rPr>
        <w:t>v</w:t>
      </w:r>
      <w:r w:rsidRPr="00B85AB8">
        <w:rPr>
          <w:rFonts w:eastAsia="Calibri"/>
          <w:highlight w:val="yellow"/>
        </w:rPr>
        <w:t xml:space="preserve">a määruse sarnase tabeliga </w:t>
      </w:r>
      <w:r w:rsidR="00BF4F42">
        <w:rPr>
          <w:rFonts w:eastAsia="Calibri"/>
          <w:highlight w:val="yellow"/>
        </w:rPr>
        <w:t>lisatud</w:t>
      </w:r>
      <w:r w:rsidR="000E0ECE">
        <w:rPr>
          <w:rFonts w:eastAsia="Calibri"/>
          <w:highlight w:val="yellow"/>
        </w:rPr>
        <w:t xml:space="preserve"> </w:t>
      </w:r>
      <w:r w:rsidRPr="00B85AB8">
        <w:rPr>
          <w:rFonts w:eastAsia="Calibri"/>
          <w:highlight w:val="yellow"/>
        </w:rPr>
        <w:t xml:space="preserve">mürgiste </w:t>
      </w:r>
      <w:r w:rsidRPr="00B85AB8">
        <w:rPr>
          <w:rFonts w:eastAsia="Calibri"/>
          <w:highlight w:val="yellow"/>
        </w:rPr>
        <w:lastRenderedPageBreak/>
        <w:t>gaaside ladustamine ning on täpsustatud osade aineklasside ühtesobivust (näiteks mitte eraldamise korral on täpsustatud ainete ladustamise eesmärki või varasemalt eraldamist nõudnud aineid on eelnõuga lubatud hoida koos),</w:t>
      </w:r>
      <w:r w:rsidR="00BF4F42">
        <w:rPr>
          <w:rFonts w:eastAsia="Calibri"/>
          <w:highlight w:val="yellow"/>
        </w:rPr>
        <w:t xml:space="preserve"> seega</w:t>
      </w:r>
      <w:r w:rsidRPr="00B85AB8">
        <w:rPr>
          <w:rFonts w:eastAsia="Calibri"/>
          <w:highlight w:val="yellow"/>
        </w:rPr>
        <w:t xml:space="preserve"> on üleminekuaeg </w:t>
      </w:r>
      <w:r w:rsidR="00CA3790">
        <w:rPr>
          <w:rFonts w:eastAsia="Calibri"/>
          <w:highlight w:val="yellow"/>
        </w:rPr>
        <w:t>asja</w:t>
      </w:r>
      <w:r w:rsidRPr="00B85AB8">
        <w:rPr>
          <w:rFonts w:eastAsia="Calibri"/>
          <w:highlight w:val="yellow"/>
        </w:rPr>
        <w:t xml:space="preserve">kohane. Ehkki on võimalus nõutava eraldamise või eraldi hoidmise asemel </w:t>
      </w:r>
      <w:r w:rsidR="00BF4F42" w:rsidRPr="00B85AB8">
        <w:rPr>
          <w:rFonts w:eastAsia="Calibri"/>
          <w:highlight w:val="yellow"/>
        </w:rPr>
        <w:t xml:space="preserve">koheselt </w:t>
      </w:r>
      <w:r w:rsidRPr="00B85AB8">
        <w:rPr>
          <w:rFonts w:eastAsia="Calibri"/>
          <w:highlight w:val="yellow"/>
        </w:rPr>
        <w:t>kasutada alusvanne või vallitusala, on siiski mõistlik jätta ettevõtjatele aega uute nõuetega kohanemiseks.</w:t>
      </w:r>
      <w:r>
        <w:rPr>
          <w:rFonts w:eastAsia="Calibri"/>
        </w:rPr>
        <w:t xml:space="preserve"> </w:t>
      </w:r>
    </w:p>
    <w:p w14:paraId="4719C75E" w14:textId="77777777" w:rsidR="00272081" w:rsidRDefault="00272081" w:rsidP="000D0219">
      <w:pPr>
        <w:pStyle w:val="NoSpacing"/>
        <w:jc w:val="both"/>
        <w:rPr>
          <w:rFonts w:eastAsia="Calibri"/>
          <w:color w:val="000000"/>
        </w:rPr>
      </w:pPr>
    </w:p>
    <w:p w14:paraId="7987E4A7" w14:textId="69CA33D5" w:rsidR="000D0219" w:rsidRDefault="00272081" w:rsidP="00047F1F">
      <w:pPr>
        <w:pStyle w:val="NoSpacing"/>
        <w:jc w:val="both"/>
        <w:rPr>
          <w:rFonts w:eastAsia="Calibri"/>
          <w:color w:val="000000"/>
        </w:rPr>
      </w:pPr>
      <w:r w:rsidRPr="00240B71">
        <w:rPr>
          <w:rFonts w:eastAsia="Calibri"/>
          <w:b/>
          <w:bCs/>
          <w:color w:val="0070C0"/>
        </w:rPr>
        <w:t xml:space="preserve">Lõike </w:t>
      </w:r>
      <w:r>
        <w:rPr>
          <w:rFonts w:eastAsia="Calibri"/>
          <w:b/>
          <w:bCs/>
          <w:color w:val="0070C0"/>
        </w:rPr>
        <w:t xml:space="preserve">2 </w:t>
      </w:r>
      <w:r w:rsidRPr="00272081">
        <w:rPr>
          <w:rFonts w:eastAsia="Calibri"/>
        </w:rPr>
        <w:t>kohaselt</w:t>
      </w:r>
      <w:r w:rsidRPr="00272081">
        <w:rPr>
          <w:rFonts w:eastAsia="Calibri"/>
          <w:b/>
          <w:bCs/>
        </w:rPr>
        <w:t xml:space="preserve"> </w:t>
      </w:r>
      <w:r>
        <w:rPr>
          <w:rFonts w:eastAsia="Calibri"/>
          <w:color w:val="000000"/>
        </w:rPr>
        <w:t xml:space="preserve">kehtivad </w:t>
      </w:r>
      <w:r w:rsidRPr="00B85AB8">
        <w:rPr>
          <w:rFonts w:eastAsia="Calibri"/>
          <w:color w:val="000000"/>
          <w:highlight w:val="yellow"/>
        </w:rPr>
        <w:t>e</w:t>
      </w:r>
      <w:r w:rsidR="000D0219" w:rsidRPr="00B85AB8">
        <w:rPr>
          <w:rFonts w:eastAsia="Calibri"/>
          <w:color w:val="000000"/>
          <w:highlight w:val="yellow"/>
        </w:rPr>
        <w:t>elnõu §-de 1</w:t>
      </w:r>
      <w:r w:rsidR="00235784">
        <w:rPr>
          <w:rFonts w:eastAsia="Calibri"/>
          <w:color w:val="000000"/>
          <w:highlight w:val="yellow"/>
        </w:rPr>
        <w:t>1</w:t>
      </w:r>
      <w:r w:rsidR="000D0219" w:rsidRPr="00B85AB8">
        <w:rPr>
          <w:rFonts w:eastAsia="Calibri"/>
          <w:color w:val="000000"/>
          <w:highlight w:val="yellow"/>
        </w:rPr>
        <w:t xml:space="preserve"> ja 1</w:t>
      </w:r>
      <w:r w:rsidR="00235784">
        <w:rPr>
          <w:rFonts w:eastAsia="Calibri"/>
          <w:color w:val="000000"/>
        </w:rPr>
        <w:t>2</w:t>
      </w:r>
      <w:r w:rsidR="000D0219" w:rsidRPr="00754014">
        <w:rPr>
          <w:rFonts w:eastAsia="Calibri"/>
          <w:color w:val="000000"/>
        </w:rPr>
        <w:t xml:space="preserve"> </w:t>
      </w:r>
      <w:r w:rsidR="000D0219">
        <w:rPr>
          <w:rFonts w:eastAsia="Calibri"/>
          <w:color w:val="000000"/>
        </w:rPr>
        <w:t>n</w:t>
      </w:r>
      <w:r w:rsidR="000D0219" w:rsidRPr="00EF2AE3">
        <w:rPr>
          <w:rFonts w:eastAsia="Calibri"/>
          <w:color w:val="000000"/>
        </w:rPr>
        <w:t>õu</w:t>
      </w:r>
      <w:r w:rsidR="000D0219">
        <w:rPr>
          <w:rFonts w:eastAsia="Calibri"/>
          <w:color w:val="000000"/>
        </w:rPr>
        <w:t xml:space="preserve">ded </w:t>
      </w:r>
      <w:r w:rsidR="000D0219" w:rsidRPr="00321558">
        <w:rPr>
          <w:rFonts w:eastAsia="Calibri"/>
          <w:color w:val="000000"/>
        </w:rPr>
        <w:t>kujale</w:t>
      </w:r>
      <w:r w:rsidR="000D0219" w:rsidRPr="00EF2AE3">
        <w:rPr>
          <w:rFonts w:eastAsia="Calibri"/>
          <w:color w:val="000000"/>
        </w:rPr>
        <w:t xml:space="preserve"> </w:t>
      </w:r>
      <w:r>
        <w:rPr>
          <w:rFonts w:eastAsia="Calibri"/>
          <w:color w:val="000000"/>
        </w:rPr>
        <w:t xml:space="preserve">vaid </w:t>
      </w:r>
      <w:r w:rsidRPr="00272081">
        <w:rPr>
          <w:rFonts w:eastAsia="Calibri"/>
          <w:color w:val="000000"/>
        </w:rPr>
        <w:t xml:space="preserve">enne käesoleva määruse jõustumist ehitatud ja ehitamisel </w:t>
      </w:r>
      <w:r>
        <w:rPr>
          <w:rFonts w:eastAsia="Calibri"/>
          <w:color w:val="000000"/>
        </w:rPr>
        <w:t xml:space="preserve">oleva </w:t>
      </w:r>
      <w:r w:rsidR="000D0219">
        <w:rPr>
          <w:rFonts w:eastAsia="Calibri"/>
          <w:color w:val="000000"/>
        </w:rPr>
        <w:t>ammoniaagirajatise ja</w:t>
      </w:r>
      <w:r w:rsidR="000D0219" w:rsidRPr="00754014">
        <w:rPr>
          <w:rFonts w:eastAsia="Calibri"/>
          <w:color w:val="000000"/>
        </w:rPr>
        <w:t xml:space="preserve"> </w:t>
      </w:r>
      <w:r w:rsidR="000D0219">
        <w:rPr>
          <w:rFonts w:eastAsia="Calibri"/>
          <w:color w:val="000000"/>
        </w:rPr>
        <w:t xml:space="preserve">hapniku </w:t>
      </w:r>
      <w:r w:rsidR="000D0219" w:rsidRPr="00754014">
        <w:rPr>
          <w:rFonts w:eastAsia="Calibri"/>
          <w:color w:val="000000"/>
        </w:rPr>
        <w:t>hoiukoha</w:t>
      </w:r>
      <w:r w:rsidR="000D0219">
        <w:rPr>
          <w:rFonts w:eastAsia="Calibri"/>
          <w:color w:val="000000"/>
        </w:rPr>
        <w:t xml:space="preserve"> kohta</w:t>
      </w:r>
      <w:r w:rsidR="000D0219" w:rsidRPr="00754014">
        <w:rPr>
          <w:rFonts w:eastAsia="Calibri"/>
          <w:color w:val="000000"/>
        </w:rPr>
        <w:t>.</w:t>
      </w:r>
      <w:r w:rsidR="000D0219">
        <w:rPr>
          <w:rFonts w:eastAsia="Calibri"/>
          <w:color w:val="000000"/>
        </w:rPr>
        <w:t xml:space="preserve"> Olemasolevaid </w:t>
      </w:r>
      <w:r w:rsidR="000D0219" w:rsidRPr="00321558">
        <w:rPr>
          <w:rFonts w:eastAsia="Calibri"/>
          <w:color w:val="000000"/>
        </w:rPr>
        <w:t>ammoniaagi</w:t>
      </w:r>
      <w:r w:rsidR="000D0219">
        <w:rPr>
          <w:rFonts w:eastAsia="Calibri"/>
          <w:color w:val="000000"/>
        </w:rPr>
        <w:t xml:space="preserve">rajatisi </w:t>
      </w:r>
      <w:r w:rsidR="000D0219" w:rsidRPr="00321558">
        <w:rPr>
          <w:rFonts w:eastAsia="Calibri"/>
          <w:color w:val="000000"/>
        </w:rPr>
        <w:t>ja hapniku hoiukohti</w:t>
      </w:r>
      <w:r w:rsidR="000D0219">
        <w:rPr>
          <w:rFonts w:eastAsia="Calibri"/>
          <w:color w:val="000000"/>
        </w:rPr>
        <w:t xml:space="preserve"> on keeruline hakata muutma. Seega nõudeid tagasiulatuvalt ei kohaldata. Nõudeid eelnõu §-s 1</w:t>
      </w:r>
      <w:r w:rsidR="00235784">
        <w:rPr>
          <w:rFonts w:eastAsia="Calibri"/>
          <w:color w:val="000000"/>
        </w:rPr>
        <w:t>0</w:t>
      </w:r>
      <w:r w:rsidR="000D0219">
        <w:rPr>
          <w:rFonts w:eastAsia="Calibri"/>
          <w:color w:val="000000"/>
        </w:rPr>
        <w:t xml:space="preserve"> nimetatud hoidla kujale leevendatakse. Seega pole nende rakendamiseks eraldi sätet vaja.</w:t>
      </w:r>
      <w:r w:rsidR="00120D04">
        <w:rPr>
          <w:rFonts w:eastAsia="Calibri"/>
          <w:color w:val="000000"/>
        </w:rPr>
        <w:t xml:space="preserve"> </w:t>
      </w:r>
      <w:r w:rsidR="00047F1F" w:rsidRPr="0082499D">
        <w:rPr>
          <w:rFonts w:eastAsia="Calibri"/>
          <w:color w:val="000000"/>
          <w:highlight w:val="yellow"/>
        </w:rPr>
        <w:t xml:space="preserve">Olemasolevate </w:t>
      </w:r>
      <w:r w:rsidR="00221D4A" w:rsidRPr="0082499D">
        <w:rPr>
          <w:rFonts w:eastAsia="Calibri"/>
          <w:color w:val="000000"/>
          <w:highlight w:val="yellow"/>
        </w:rPr>
        <w:t>rajatiste puhul hinnatakse nende</w:t>
      </w:r>
      <w:r w:rsidR="00047F1F" w:rsidRPr="0082499D">
        <w:rPr>
          <w:rFonts w:eastAsia="Calibri"/>
          <w:color w:val="000000"/>
          <w:highlight w:val="yellow"/>
        </w:rPr>
        <w:t xml:space="preserve"> kasutusele võtmisel kehtinud </w:t>
      </w:r>
      <w:r w:rsidR="00221D4A" w:rsidRPr="0082499D">
        <w:rPr>
          <w:rFonts w:eastAsia="Calibri"/>
          <w:color w:val="000000"/>
          <w:highlight w:val="yellow"/>
        </w:rPr>
        <w:t>nõu</w:t>
      </w:r>
      <w:r w:rsidR="000E0ECE" w:rsidRPr="0082499D">
        <w:rPr>
          <w:rFonts w:eastAsia="Calibri"/>
          <w:color w:val="000000"/>
          <w:highlight w:val="yellow"/>
        </w:rPr>
        <w:t>ete täitmist.</w:t>
      </w:r>
      <w:r w:rsidR="002904B9" w:rsidRPr="0082499D">
        <w:rPr>
          <w:rFonts w:eastAsia="Calibri"/>
          <w:color w:val="000000"/>
          <w:highlight w:val="yellow"/>
        </w:rPr>
        <w:t xml:space="preserve"> </w:t>
      </w:r>
      <w:r w:rsidR="000E0ECE" w:rsidRPr="0082499D">
        <w:rPr>
          <w:rFonts w:eastAsia="Calibri"/>
          <w:color w:val="000000"/>
          <w:highlight w:val="yellow"/>
        </w:rPr>
        <w:t>K</w:t>
      </w:r>
      <w:r w:rsidR="00221D4A" w:rsidRPr="0082499D">
        <w:rPr>
          <w:rFonts w:eastAsia="Calibri"/>
          <w:color w:val="000000"/>
          <w:highlight w:val="yellow"/>
        </w:rPr>
        <w:t>ui soovitakse mahutiparki laiendada või uuendada, siis tuleb kujade määramisel aluseks võtta käesolev määrus, sest ehitamine on muu hulgas ka laiendamine või ümberehitamine</w:t>
      </w:r>
      <w:r w:rsidR="00047F1F" w:rsidRPr="0082499D">
        <w:rPr>
          <w:rFonts w:eastAsia="Calibri"/>
          <w:color w:val="000000"/>
          <w:highlight w:val="yellow"/>
        </w:rPr>
        <w:t>.</w:t>
      </w:r>
      <w:r w:rsidR="00047F1F" w:rsidRPr="00047F1F">
        <w:t xml:space="preserve"> </w:t>
      </w:r>
    </w:p>
    <w:p w14:paraId="6D5BC849" w14:textId="77777777" w:rsidR="000D0219" w:rsidRDefault="000D0219" w:rsidP="000D0219">
      <w:pPr>
        <w:pStyle w:val="NoSpacing"/>
        <w:jc w:val="both"/>
        <w:rPr>
          <w:rFonts w:eastAsia="Calibri"/>
          <w:color w:val="000000"/>
        </w:rPr>
      </w:pPr>
    </w:p>
    <w:p w14:paraId="751F8ED4" w14:textId="273F879B" w:rsidR="000D0219" w:rsidRPr="00B701C8" w:rsidRDefault="000D0219" w:rsidP="000D0219">
      <w:pPr>
        <w:pStyle w:val="NoSpacing"/>
        <w:jc w:val="both"/>
        <w:rPr>
          <w:rFonts w:eastAsia="Calibri"/>
        </w:rPr>
      </w:pPr>
      <w:bookmarkStart w:id="26" w:name="_Toc149306206"/>
      <w:r w:rsidRPr="004E5223">
        <w:rPr>
          <w:rStyle w:val="Heading3Char"/>
        </w:rPr>
        <w:t>Eelnõu §-ga 1</w:t>
      </w:r>
      <w:bookmarkEnd w:id="26"/>
      <w:r w:rsidR="00235784">
        <w:rPr>
          <w:rStyle w:val="Heading3Char"/>
        </w:rPr>
        <w:t>4</w:t>
      </w:r>
      <w:r>
        <w:rPr>
          <w:rFonts w:eastAsia="Calibri"/>
          <w:b/>
          <w:color w:val="000000"/>
        </w:rPr>
        <w:t xml:space="preserve"> </w:t>
      </w:r>
      <w:r w:rsidRPr="00B701C8">
        <w:rPr>
          <w:rFonts w:eastAsia="Calibri"/>
        </w:rPr>
        <w:t xml:space="preserve">tunnistatakse </w:t>
      </w:r>
      <w:r>
        <w:rPr>
          <w:rFonts w:eastAsia="Calibri"/>
        </w:rPr>
        <w:t xml:space="preserve">kehtetuks kehtiv </w:t>
      </w:r>
      <w:r w:rsidRPr="00C115AB">
        <w:t>määrus</w:t>
      </w:r>
      <w:r>
        <w:t>.</w:t>
      </w:r>
    </w:p>
    <w:p w14:paraId="56B75406" w14:textId="77777777" w:rsidR="000D0219" w:rsidRPr="00B701C8" w:rsidRDefault="000D0219" w:rsidP="000D0219">
      <w:pPr>
        <w:pStyle w:val="NoSpacing"/>
        <w:jc w:val="both"/>
        <w:rPr>
          <w:rFonts w:eastAsia="Calibri"/>
        </w:rPr>
      </w:pPr>
    </w:p>
    <w:p w14:paraId="521F5181" w14:textId="26D91DDF" w:rsidR="000D0219" w:rsidRPr="00B701C8" w:rsidRDefault="000D0219" w:rsidP="000D0219">
      <w:pPr>
        <w:pStyle w:val="NoSpacing"/>
        <w:jc w:val="both"/>
        <w:rPr>
          <w:rFonts w:eastAsia="Calibri"/>
        </w:rPr>
      </w:pPr>
      <w:bookmarkStart w:id="27" w:name="_Toc149306207"/>
      <w:r w:rsidRPr="004E5223">
        <w:rPr>
          <w:rStyle w:val="Heading3Char"/>
        </w:rPr>
        <w:t>Eelnõu §-ga 1</w:t>
      </w:r>
      <w:bookmarkEnd w:id="27"/>
      <w:r w:rsidR="00235784">
        <w:rPr>
          <w:rStyle w:val="Heading3Char"/>
        </w:rPr>
        <w:t>5</w:t>
      </w:r>
      <w:r w:rsidRPr="00B701C8">
        <w:rPr>
          <w:rFonts w:eastAsia="Calibri"/>
          <w:bCs/>
          <w:color w:val="000000"/>
        </w:rPr>
        <w:t xml:space="preserve"> </w:t>
      </w:r>
      <w:r w:rsidRPr="00B701C8">
        <w:rPr>
          <w:rFonts w:eastAsia="Calibri"/>
          <w:color w:val="000000"/>
        </w:rPr>
        <w:t xml:space="preserve">sätestatakse </w:t>
      </w:r>
      <w:r>
        <w:rPr>
          <w:rFonts w:eastAsia="Calibri"/>
          <w:color w:val="000000"/>
        </w:rPr>
        <w:t>määruse</w:t>
      </w:r>
      <w:r w:rsidRPr="00B701C8">
        <w:rPr>
          <w:rFonts w:eastAsia="Calibri"/>
          <w:color w:val="000000"/>
        </w:rPr>
        <w:t xml:space="preserve"> </w:t>
      </w:r>
      <w:r w:rsidRPr="00B701C8">
        <w:rPr>
          <w:rFonts w:eastAsia="Calibri"/>
          <w:color w:val="000000"/>
        </w:rPr>
        <w:t>jõustumis</w:t>
      </w:r>
      <w:r>
        <w:rPr>
          <w:rFonts w:eastAsia="Calibri"/>
          <w:color w:val="000000"/>
        </w:rPr>
        <w:t xml:space="preserve">e </w:t>
      </w:r>
      <w:r w:rsidRPr="00B701C8">
        <w:rPr>
          <w:rFonts w:eastAsia="Calibri"/>
          <w:color w:val="000000"/>
        </w:rPr>
        <w:t>ajaks</w:t>
      </w:r>
      <w:r w:rsidR="00A418AD">
        <w:rPr>
          <w:rFonts w:eastAsia="Calibri"/>
          <w:color w:val="000000"/>
        </w:rPr>
        <w:t xml:space="preserve"> </w:t>
      </w:r>
      <w:r w:rsidRPr="00B701C8">
        <w:rPr>
          <w:rFonts w:eastAsia="Calibri"/>
          <w:color w:val="000000"/>
        </w:rPr>
        <w:t xml:space="preserve"> </w:t>
      </w:r>
      <w:r w:rsidRPr="00272081">
        <w:rPr>
          <w:rFonts w:eastAsia="Calibri"/>
          <w:color w:val="000000"/>
          <w:highlight w:val="yellow"/>
        </w:rPr>
        <w:t xml:space="preserve">1. </w:t>
      </w:r>
      <w:r w:rsidR="00272081" w:rsidRPr="00272081">
        <w:rPr>
          <w:rFonts w:eastAsia="Calibri"/>
          <w:color w:val="000000"/>
          <w:highlight w:val="yellow"/>
        </w:rPr>
        <w:t>juuli</w:t>
      </w:r>
      <w:r w:rsidRPr="00272081">
        <w:rPr>
          <w:rFonts w:eastAsia="Calibri"/>
          <w:color w:val="000000"/>
          <w:highlight w:val="yellow"/>
        </w:rPr>
        <w:t xml:space="preserve"> 2024</w:t>
      </w:r>
      <w:r w:rsidR="000E0ECE">
        <w:rPr>
          <w:rFonts w:eastAsia="Calibri"/>
          <w:color w:val="000000"/>
          <w:highlight w:val="yellow"/>
        </w:rPr>
        <w:t>. aastal</w:t>
      </w:r>
      <w:r w:rsidRPr="00272081">
        <w:rPr>
          <w:rFonts w:eastAsia="Calibri"/>
          <w:highlight w:val="yellow"/>
        </w:rPr>
        <w:t>.</w:t>
      </w:r>
      <w:r>
        <w:rPr>
          <w:rFonts w:eastAsia="Calibri"/>
        </w:rPr>
        <w:t xml:space="preserve"> Eelnõu on seotud </w:t>
      </w:r>
      <w:r w:rsidRPr="0082499D">
        <w:rPr>
          <w:rFonts w:eastAsia="Calibri"/>
          <w:highlight w:val="yellow"/>
        </w:rPr>
        <w:t>Riigikogu</w:t>
      </w:r>
      <w:r w:rsidR="000E0ECE" w:rsidRPr="0082499D">
        <w:rPr>
          <w:rFonts w:eastAsia="Calibri"/>
          <w:highlight w:val="yellow"/>
        </w:rPr>
        <w:t>s</w:t>
      </w:r>
      <w:r w:rsidRPr="0082499D">
        <w:rPr>
          <w:rFonts w:eastAsia="Calibri"/>
          <w:highlight w:val="yellow"/>
        </w:rPr>
        <w:t xml:space="preserve"> </w:t>
      </w:r>
      <w:r w:rsidR="000E0ECE" w:rsidRPr="0082499D">
        <w:rPr>
          <w:rFonts w:eastAsia="Calibri"/>
          <w:highlight w:val="yellow"/>
        </w:rPr>
        <w:t xml:space="preserve">6. märtsil 2024. aastal vastuvõetud eelnõuga </w:t>
      </w:r>
      <w:r w:rsidR="006203F6" w:rsidRPr="0082499D">
        <w:rPr>
          <w:rFonts w:eastAsia="Calibri"/>
          <w:highlight w:val="yellow"/>
        </w:rPr>
        <w:t>346 SE</w:t>
      </w:r>
      <w:r w:rsidR="00BF4F42" w:rsidRPr="0082499D">
        <w:rPr>
          <w:rFonts w:eastAsia="Calibri"/>
          <w:highlight w:val="yellow"/>
        </w:rPr>
        <w:t>, mille jõustumi</w:t>
      </w:r>
      <w:r w:rsidR="00CA3790" w:rsidRPr="0082499D">
        <w:rPr>
          <w:rFonts w:eastAsia="Calibri"/>
          <w:highlight w:val="yellow"/>
        </w:rPr>
        <w:t>se aeg</w:t>
      </w:r>
      <w:r w:rsidR="00BF4F42" w:rsidRPr="0082499D">
        <w:rPr>
          <w:rFonts w:eastAsia="Calibri"/>
          <w:highlight w:val="yellow"/>
        </w:rPr>
        <w:t xml:space="preserve"> mõjutab käesoleva määruse jõustumist</w:t>
      </w:r>
      <w:r w:rsidRPr="0082499D">
        <w:rPr>
          <w:rFonts w:eastAsia="Calibri"/>
          <w:highlight w:val="yellow"/>
        </w:rPr>
        <w:t>.</w:t>
      </w:r>
    </w:p>
    <w:p w14:paraId="1686AE36" w14:textId="77777777" w:rsidR="000D0219" w:rsidRDefault="000D0219" w:rsidP="000D0219">
      <w:pPr>
        <w:pStyle w:val="NoSpacing"/>
        <w:jc w:val="both"/>
        <w:rPr>
          <w:b/>
          <w:bCs/>
        </w:rPr>
      </w:pPr>
    </w:p>
    <w:p w14:paraId="47D61A1E" w14:textId="77777777" w:rsidR="000D0219" w:rsidRPr="00D64010" w:rsidRDefault="000D0219" w:rsidP="000D0219">
      <w:pPr>
        <w:pStyle w:val="Heading1"/>
      </w:pPr>
      <w:bookmarkStart w:id="28" w:name="_Toc149306208"/>
      <w:r w:rsidRPr="00D64010">
        <w:t>3. Eelnõu vastavus Euroopa Liidu õigusele</w:t>
      </w:r>
      <w:bookmarkEnd w:id="28"/>
    </w:p>
    <w:p w14:paraId="7BB4DC31" w14:textId="77777777" w:rsidR="000D0219" w:rsidRPr="00B701C8" w:rsidRDefault="000D0219" w:rsidP="000D0219">
      <w:pPr>
        <w:pStyle w:val="NoSpacing"/>
        <w:jc w:val="both"/>
      </w:pPr>
    </w:p>
    <w:p w14:paraId="64704832" w14:textId="77777777" w:rsidR="000D0219" w:rsidRPr="00B701C8" w:rsidRDefault="000D0219" w:rsidP="000D0219">
      <w:pPr>
        <w:pStyle w:val="NoSpacing"/>
        <w:jc w:val="both"/>
        <w:rPr>
          <w:b/>
          <w:bCs/>
        </w:rPr>
      </w:pPr>
      <w:r w:rsidRPr="00B701C8">
        <w:t xml:space="preserve">Eelnõu </w:t>
      </w:r>
      <w:r>
        <w:t>on seotud</w:t>
      </w:r>
      <w:r w:rsidRPr="00B701C8">
        <w:t xml:space="preserve"> Euroopa Liidu õigusega</w:t>
      </w:r>
      <w:r>
        <w:t>. Selle koostamisel on võetud arvesse Euroopa Parlamendi ja nõukogu 4. juuli 2012. aasta direktiivi 2012/18/EL ohtlike ainetega seotud suurõnnetuse ohu ohjeldamise ning nõukogu direktiivi 96/82/EÜ muutmise ja hilisema kehtetuks tunnistamise kohta</w:t>
      </w:r>
      <w:r>
        <w:rPr>
          <w:rStyle w:val="FootnoteReference"/>
        </w:rPr>
        <w:footnoteReference w:id="17"/>
      </w:r>
      <w:r w:rsidRPr="00B701C8">
        <w:t>.</w:t>
      </w:r>
    </w:p>
    <w:p w14:paraId="428EA4DE" w14:textId="77777777" w:rsidR="000D0219" w:rsidRPr="00B701C8" w:rsidRDefault="000D0219" w:rsidP="000D0219">
      <w:pPr>
        <w:pStyle w:val="NoSpacing"/>
        <w:jc w:val="both"/>
        <w:rPr>
          <w:b/>
          <w:bCs/>
        </w:rPr>
      </w:pPr>
    </w:p>
    <w:p w14:paraId="7557B867" w14:textId="77777777" w:rsidR="000D0219" w:rsidRPr="00B701C8" w:rsidRDefault="000D0219" w:rsidP="000D0219">
      <w:pPr>
        <w:pStyle w:val="Heading1"/>
        <w:keepNext/>
      </w:pPr>
      <w:bookmarkStart w:id="29" w:name="_Toc149306209"/>
      <w:r w:rsidRPr="00B701C8">
        <w:t>4. Määruse mõjud</w:t>
      </w:r>
      <w:bookmarkEnd w:id="29"/>
    </w:p>
    <w:p w14:paraId="414A4CDE" w14:textId="77777777" w:rsidR="000D0219" w:rsidRDefault="000D0219" w:rsidP="000D0219">
      <w:pPr>
        <w:pStyle w:val="NoSpacing"/>
        <w:keepNext/>
        <w:jc w:val="both"/>
      </w:pPr>
    </w:p>
    <w:p w14:paraId="5A73A774" w14:textId="725BBD5D" w:rsidR="000D0219" w:rsidRDefault="000D0219" w:rsidP="000D0219">
      <w:pPr>
        <w:pStyle w:val="NoSpacing"/>
        <w:jc w:val="both"/>
      </w:pPr>
      <w:r>
        <w:t>Eelnõuga ei looda</w:t>
      </w:r>
      <w:r w:rsidRPr="001234E5">
        <w:t xml:space="preserve"> </w:t>
      </w:r>
      <w:r w:rsidR="00530ABB" w:rsidRPr="00530ABB">
        <w:rPr>
          <w:highlight w:val="yellow"/>
        </w:rPr>
        <w:t>põlevamaterjalide ladustamisele</w:t>
      </w:r>
      <w:r w:rsidR="00530ABB">
        <w:t xml:space="preserve"> </w:t>
      </w:r>
      <w:r w:rsidRPr="001234E5">
        <w:t xml:space="preserve">uut regulatsiooni, mistõttu ei ole vaja </w:t>
      </w:r>
      <w:r>
        <w:t>ka</w:t>
      </w:r>
      <w:r w:rsidRPr="001234E5">
        <w:t xml:space="preserve"> olukorras, kus mõju on sihtrühma suuruse </w:t>
      </w:r>
      <w:r>
        <w:t>tõttu</w:t>
      </w:r>
      <w:r w:rsidRPr="001234E5">
        <w:t xml:space="preserve"> oluline, seda eraldi täpsemalt hinnata. Kuna eesmärk on lihtsustada nõudeid põlevmaterjali ladustamisele, loob </w:t>
      </w:r>
      <w:r>
        <w:t>eelnõu</w:t>
      </w:r>
      <w:r w:rsidRPr="001234E5">
        <w:t xml:space="preserve"> hoopis selgema ja läbipaistvama regulatsiooni</w:t>
      </w:r>
      <w:r w:rsidR="00530ABB">
        <w:t xml:space="preserve"> </w:t>
      </w:r>
      <w:r w:rsidR="00BF4F42">
        <w:rPr>
          <w:highlight w:val="yellow"/>
        </w:rPr>
        <w:t>ega</w:t>
      </w:r>
      <w:r w:rsidR="00530ABB" w:rsidRPr="00530ABB">
        <w:rPr>
          <w:highlight w:val="yellow"/>
        </w:rPr>
        <w:t xml:space="preserve"> sunni sihtrühma tegema neile negatiivse mõjuga tegevusi</w:t>
      </w:r>
      <w:r w:rsidRPr="00530ABB">
        <w:rPr>
          <w:highlight w:val="yellow"/>
        </w:rPr>
        <w:t>.</w:t>
      </w:r>
      <w:r w:rsidR="00272081">
        <w:t xml:space="preserve"> </w:t>
      </w:r>
      <w:r w:rsidR="00272081" w:rsidRPr="00272081">
        <w:rPr>
          <w:highlight w:val="yellow"/>
        </w:rPr>
        <w:t>Küll aga võib ohtlike ainete ladustamise uute nõuete järg</w:t>
      </w:r>
      <w:r w:rsidR="004C531F">
        <w:rPr>
          <w:highlight w:val="yellow"/>
        </w:rPr>
        <w:t>i</w:t>
      </w:r>
      <w:r w:rsidR="00272081" w:rsidRPr="00272081">
        <w:rPr>
          <w:highlight w:val="yellow"/>
        </w:rPr>
        <w:t>mine mõnel juhul tuua ettevõtjatele kaasa kohanemis</w:t>
      </w:r>
      <w:r w:rsidR="00BF4F42">
        <w:rPr>
          <w:highlight w:val="yellow"/>
        </w:rPr>
        <w:t>e vajadus</w:t>
      </w:r>
      <w:r w:rsidR="004C531F">
        <w:rPr>
          <w:highlight w:val="yellow"/>
        </w:rPr>
        <w:t>e</w:t>
      </w:r>
      <w:r w:rsidR="00272081" w:rsidRPr="00272081">
        <w:rPr>
          <w:highlight w:val="yellow"/>
        </w:rPr>
        <w:t xml:space="preserve">, ehkki </w:t>
      </w:r>
      <w:r w:rsidR="00E4454D">
        <w:rPr>
          <w:highlight w:val="yellow"/>
        </w:rPr>
        <w:t>KemS</w:t>
      </w:r>
      <w:r w:rsidR="00E4454D" w:rsidRPr="00272081">
        <w:rPr>
          <w:highlight w:val="yellow"/>
        </w:rPr>
        <w:t xml:space="preserve"> </w:t>
      </w:r>
      <w:r w:rsidR="00272081" w:rsidRPr="00272081">
        <w:rPr>
          <w:highlight w:val="yellow"/>
        </w:rPr>
        <w:t xml:space="preserve">§ 8 lg 1 </w:t>
      </w:r>
      <w:r w:rsidR="004C531F">
        <w:rPr>
          <w:highlight w:val="yellow"/>
        </w:rPr>
        <w:t>juba näeb ette kohustuse</w:t>
      </w:r>
      <w:r w:rsidR="00272081" w:rsidRPr="00272081">
        <w:rPr>
          <w:highlight w:val="yellow"/>
        </w:rPr>
        <w:t>, et kemikaali tuleb käidelda inimese elule ja tervisele ning asjale ja keskkonnale ohutult</w:t>
      </w:r>
      <w:r w:rsidR="004C531F">
        <w:rPr>
          <w:highlight w:val="yellow"/>
        </w:rPr>
        <w:t>.</w:t>
      </w:r>
      <w:r w:rsidR="00E04011">
        <w:rPr>
          <w:highlight w:val="yellow"/>
        </w:rPr>
        <w:t xml:space="preserve"> </w:t>
      </w:r>
      <w:r w:rsidR="004C531F">
        <w:rPr>
          <w:highlight w:val="yellow"/>
        </w:rPr>
        <w:t>S</w:t>
      </w:r>
      <w:r w:rsidR="00272081" w:rsidRPr="00272081">
        <w:rPr>
          <w:highlight w:val="yellow"/>
        </w:rPr>
        <w:t xml:space="preserve">ee tähendab, et nimetatud sätte kohaselt peavad </w:t>
      </w:r>
      <w:r w:rsidR="00530ABB">
        <w:rPr>
          <w:highlight w:val="yellow"/>
        </w:rPr>
        <w:t xml:space="preserve">juba praegu </w:t>
      </w:r>
      <w:r w:rsidR="00272081" w:rsidRPr="00272081">
        <w:rPr>
          <w:highlight w:val="yellow"/>
        </w:rPr>
        <w:t>kõik, kes kemikaaliga kokku puutuvad</w:t>
      </w:r>
      <w:r w:rsidR="00E04011">
        <w:rPr>
          <w:highlight w:val="yellow"/>
        </w:rPr>
        <w:t>,</w:t>
      </w:r>
      <w:r w:rsidR="00272081" w:rsidRPr="00272081">
        <w:rPr>
          <w:highlight w:val="yellow"/>
        </w:rPr>
        <w:t xml:space="preserve"> järgima </w:t>
      </w:r>
      <w:proofErr w:type="spellStart"/>
      <w:r w:rsidR="00E4454D">
        <w:rPr>
          <w:highlight w:val="yellow"/>
        </w:rPr>
        <w:t>Kem</w:t>
      </w:r>
      <w:r w:rsidR="000E0ECE">
        <w:rPr>
          <w:highlight w:val="yellow"/>
        </w:rPr>
        <w:t>S</w:t>
      </w:r>
      <w:proofErr w:type="spellEnd"/>
      <w:r w:rsidR="00E4454D">
        <w:rPr>
          <w:highlight w:val="yellow"/>
        </w:rPr>
        <w:t>-i</w:t>
      </w:r>
      <w:r w:rsidR="00E4454D" w:rsidRPr="00272081">
        <w:rPr>
          <w:highlight w:val="yellow"/>
        </w:rPr>
        <w:t xml:space="preserve"> </w:t>
      </w:r>
      <w:r w:rsidR="00272081" w:rsidRPr="00272081">
        <w:rPr>
          <w:highlight w:val="yellow"/>
        </w:rPr>
        <w:t>nõud</w:t>
      </w:r>
      <w:r w:rsidR="00272081" w:rsidRPr="00272081">
        <w:rPr>
          <w:highlight w:val="yellow"/>
        </w:rPr>
        <w:t xml:space="preserve">eid, sh ohutusnõudeid. </w:t>
      </w:r>
      <w:r w:rsidR="00530ABB">
        <w:rPr>
          <w:highlight w:val="yellow"/>
        </w:rPr>
        <w:t xml:space="preserve">Kahjuks on siiani </w:t>
      </w:r>
      <w:r w:rsidR="00BF4F42">
        <w:rPr>
          <w:highlight w:val="yellow"/>
        </w:rPr>
        <w:t>kemikaalide ladustamisele kehtivaid</w:t>
      </w:r>
      <w:r w:rsidR="006203F6">
        <w:rPr>
          <w:highlight w:val="yellow"/>
        </w:rPr>
        <w:t xml:space="preserve"> </w:t>
      </w:r>
      <w:r w:rsidR="00E04011">
        <w:rPr>
          <w:highlight w:val="yellow"/>
        </w:rPr>
        <w:t>tule</w:t>
      </w:r>
      <w:r w:rsidR="00530ABB">
        <w:rPr>
          <w:highlight w:val="yellow"/>
        </w:rPr>
        <w:t xml:space="preserve">ohutusnõudeid olnud vähe. Samas, kui </w:t>
      </w:r>
      <w:r w:rsidR="00272081" w:rsidRPr="00272081">
        <w:rPr>
          <w:highlight w:val="yellow"/>
        </w:rPr>
        <w:t>ettevõtjad on siiani järginud kehtiva määruse lisa</w:t>
      </w:r>
      <w:r w:rsidR="00BF4F42">
        <w:rPr>
          <w:highlight w:val="yellow"/>
        </w:rPr>
        <w:t>s</w:t>
      </w:r>
      <w:r w:rsidR="00272081" w:rsidRPr="00272081">
        <w:rPr>
          <w:highlight w:val="yellow"/>
        </w:rPr>
        <w:t xml:space="preserve"> 2 </w:t>
      </w:r>
      <w:r w:rsidR="00BF4F42">
        <w:rPr>
          <w:highlight w:val="yellow"/>
        </w:rPr>
        <w:t xml:space="preserve">toodud </w:t>
      </w:r>
      <w:r w:rsidR="00272081" w:rsidRPr="00272081">
        <w:rPr>
          <w:highlight w:val="yellow"/>
        </w:rPr>
        <w:t>ladustamise nõudeid, siis on asjakohane võtta aluseks uue määruse uuendatud nõuded</w:t>
      </w:r>
      <w:r w:rsidR="00530ABB">
        <w:rPr>
          <w:highlight w:val="yellow"/>
        </w:rPr>
        <w:t>, mis omakorda annab suuremad võimalused ohtlikke aineid ohutumalt ladustada</w:t>
      </w:r>
      <w:r w:rsidR="00272081" w:rsidRPr="00272081">
        <w:rPr>
          <w:highlight w:val="yellow"/>
        </w:rPr>
        <w:t>.</w:t>
      </w:r>
    </w:p>
    <w:p w14:paraId="4171045D" w14:textId="77777777" w:rsidR="00272081" w:rsidRDefault="00272081" w:rsidP="000D0219">
      <w:pPr>
        <w:pStyle w:val="Heading2"/>
        <w:keepNext/>
      </w:pPr>
      <w:bookmarkStart w:id="30" w:name="_Toc149306210"/>
    </w:p>
    <w:p w14:paraId="75C631C9" w14:textId="4A83E83B" w:rsidR="000D0219" w:rsidRPr="00F529A7" w:rsidRDefault="000D0219" w:rsidP="000D0219">
      <w:pPr>
        <w:pStyle w:val="Heading2"/>
        <w:keepNext/>
      </w:pPr>
      <w:r w:rsidRPr="007C413A">
        <w:t xml:space="preserve">4.1. </w:t>
      </w:r>
      <w:r w:rsidRPr="00F529A7">
        <w:t xml:space="preserve">Lihtsustatakse nõudeid põlevmaterjali ladustamisele, sealhulgas kaotatakse ära nõue järgida põlevmaterjali ladustamisel vahemaad </w:t>
      </w:r>
      <w:r>
        <w:t>kinnistu</w:t>
      </w:r>
      <w:r w:rsidRPr="00F529A7">
        <w:t xml:space="preserve"> välispiirini</w:t>
      </w:r>
      <w:bookmarkEnd w:id="30"/>
    </w:p>
    <w:p w14:paraId="4F70F48A" w14:textId="77777777" w:rsidR="000D0219" w:rsidRDefault="000D0219" w:rsidP="000D0219">
      <w:pPr>
        <w:pStyle w:val="NoSpacing"/>
        <w:keepNext/>
        <w:jc w:val="both"/>
        <w:rPr>
          <w:rFonts w:cs="Times New Roman"/>
          <w:b/>
          <w:bCs/>
          <w:szCs w:val="24"/>
        </w:rPr>
      </w:pPr>
    </w:p>
    <w:p w14:paraId="3B622A2D" w14:textId="77777777" w:rsidR="000D0219" w:rsidRPr="009D39FD" w:rsidRDefault="000D0219" w:rsidP="000D0219">
      <w:pPr>
        <w:pStyle w:val="Heading3"/>
        <w:rPr>
          <w:bCs/>
          <w:u w:val="single"/>
        </w:rPr>
      </w:pPr>
      <w:bookmarkStart w:id="31" w:name="_Toc149306211"/>
      <w:r>
        <w:t xml:space="preserve">4.1.1. </w:t>
      </w:r>
      <w:r w:rsidRPr="00F529A7">
        <w:t>Mõju majandusele</w:t>
      </w:r>
      <w:bookmarkEnd w:id="31"/>
    </w:p>
    <w:p w14:paraId="3FF8C43C" w14:textId="77777777" w:rsidR="000D0219" w:rsidRDefault="000D0219" w:rsidP="000D0219">
      <w:pPr>
        <w:pStyle w:val="NoSpacing"/>
        <w:jc w:val="both"/>
        <w:rPr>
          <w:rFonts w:cs="Times New Roman"/>
          <w:b/>
          <w:bCs/>
          <w:szCs w:val="24"/>
        </w:rPr>
      </w:pPr>
    </w:p>
    <w:p w14:paraId="458CFB00" w14:textId="77777777" w:rsidR="000D0219" w:rsidRPr="00F529A7" w:rsidRDefault="000D0219" w:rsidP="000D0219">
      <w:pPr>
        <w:pStyle w:val="NoSpacing"/>
        <w:jc w:val="both"/>
        <w:rPr>
          <w:rFonts w:cs="Times New Roman"/>
          <w:szCs w:val="24"/>
          <w:u w:val="single"/>
        </w:rPr>
      </w:pPr>
      <w:r>
        <w:rPr>
          <w:rFonts w:cs="Times New Roman"/>
          <w:szCs w:val="24"/>
          <w:u w:val="single"/>
        </w:rPr>
        <w:lastRenderedPageBreak/>
        <w:t>S</w:t>
      </w:r>
      <w:r w:rsidRPr="00F529A7">
        <w:rPr>
          <w:rFonts w:cs="Times New Roman"/>
          <w:szCs w:val="24"/>
          <w:u w:val="single"/>
        </w:rPr>
        <w:t>ihtrühm</w:t>
      </w:r>
    </w:p>
    <w:p w14:paraId="4C861A99" w14:textId="77777777" w:rsidR="000D0219" w:rsidRPr="006F3749" w:rsidRDefault="000D0219" w:rsidP="000D0219">
      <w:pPr>
        <w:pStyle w:val="NoSpacing"/>
        <w:jc w:val="both"/>
        <w:rPr>
          <w:rFonts w:cs="Times New Roman"/>
          <w:szCs w:val="24"/>
        </w:rPr>
      </w:pPr>
      <w:r>
        <w:rPr>
          <w:rFonts w:cs="Times New Roman"/>
          <w:iCs/>
          <w:szCs w:val="24"/>
        </w:rPr>
        <w:t>Kindlat sihtrühma, kellele avaldab muudatus otsest mõju, ei ole võimalik piiritleda. Muudatus avaldab vähemalt kaudset mõju</w:t>
      </w:r>
      <w:r w:rsidRPr="00C374B8">
        <w:rPr>
          <w:rFonts w:cs="Times New Roman"/>
          <w:iCs/>
          <w:szCs w:val="24"/>
        </w:rPr>
        <w:t xml:space="preserve"> </w:t>
      </w:r>
      <w:r>
        <w:rPr>
          <w:rFonts w:cs="Times New Roman"/>
          <w:iCs/>
          <w:szCs w:val="24"/>
        </w:rPr>
        <w:t>kõigile</w:t>
      </w:r>
      <w:r>
        <w:rPr>
          <w:rFonts w:cs="Times New Roman"/>
          <w:szCs w:val="24"/>
        </w:rPr>
        <w:t xml:space="preserve"> Eesti </w:t>
      </w:r>
      <w:r w:rsidRPr="006F3749">
        <w:rPr>
          <w:rFonts w:cs="Times New Roman"/>
          <w:szCs w:val="24"/>
        </w:rPr>
        <w:t>täisealis</w:t>
      </w:r>
      <w:r>
        <w:rPr>
          <w:rFonts w:cs="Times New Roman"/>
          <w:szCs w:val="24"/>
        </w:rPr>
        <w:t>tele</w:t>
      </w:r>
      <w:r w:rsidRPr="006F3749">
        <w:rPr>
          <w:rFonts w:cs="Times New Roman"/>
          <w:szCs w:val="24"/>
        </w:rPr>
        <w:t xml:space="preserve"> </w:t>
      </w:r>
      <w:r>
        <w:rPr>
          <w:rFonts w:cs="Times New Roman"/>
          <w:szCs w:val="24"/>
        </w:rPr>
        <w:t>elanikele, aga ka</w:t>
      </w:r>
      <w:r w:rsidRPr="006F3749">
        <w:rPr>
          <w:rFonts w:cs="Times New Roman"/>
          <w:szCs w:val="24"/>
        </w:rPr>
        <w:t xml:space="preserve"> </w:t>
      </w:r>
      <w:r>
        <w:rPr>
          <w:rFonts w:cs="Times New Roman"/>
          <w:szCs w:val="24"/>
        </w:rPr>
        <w:t xml:space="preserve">näiteks asutustele ja </w:t>
      </w:r>
      <w:r w:rsidRPr="006F3749">
        <w:rPr>
          <w:rFonts w:cs="Times New Roman"/>
          <w:szCs w:val="24"/>
        </w:rPr>
        <w:t>Eestis tegutseva</w:t>
      </w:r>
      <w:r>
        <w:rPr>
          <w:rFonts w:cs="Times New Roman"/>
          <w:szCs w:val="24"/>
        </w:rPr>
        <w:t>tele</w:t>
      </w:r>
      <w:r w:rsidRPr="006F3749">
        <w:rPr>
          <w:rFonts w:cs="Times New Roman"/>
          <w:szCs w:val="24"/>
        </w:rPr>
        <w:t xml:space="preserve"> ettevõt</w:t>
      </w:r>
      <w:r>
        <w:rPr>
          <w:rFonts w:cs="Times New Roman"/>
          <w:szCs w:val="24"/>
        </w:rPr>
        <w:t xml:space="preserve">jatele – kõigile, kellel on vaja põlevmaterjali või ohtlikku ainet ladustada. Seega on sihtrühm </w:t>
      </w:r>
      <w:r w:rsidRPr="002B5C4A">
        <w:rPr>
          <w:rFonts w:cs="Times New Roman"/>
          <w:szCs w:val="24"/>
        </w:rPr>
        <w:t>suur</w:t>
      </w:r>
      <w:r>
        <w:rPr>
          <w:rFonts w:cs="Times New Roman"/>
          <w:szCs w:val="24"/>
        </w:rPr>
        <w:t>.</w:t>
      </w:r>
    </w:p>
    <w:p w14:paraId="4FB73320" w14:textId="77777777" w:rsidR="000D0219" w:rsidRDefault="000D0219" w:rsidP="000D0219">
      <w:pPr>
        <w:pStyle w:val="NoSpacing"/>
        <w:jc w:val="both"/>
        <w:rPr>
          <w:rFonts w:cs="Times New Roman"/>
          <w:iCs/>
          <w:szCs w:val="24"/>
        </w:rPr>
      </w:pPr>
    </w:p>
    <w:p w14:paraId="423140C5" w14:textId="77777777" w:rsidR="000D0219" w:rsidRPr="00F529A7" w:rsidRDefault="000D0219" w:rsidP="000D0219">
      <w:pPr>
        <w:pStyle w:val="NoSpacing"/>
        <w:jc w:val="both"/>
        <w:rPr>
          <w:rFonts w:cs="Times New Roman"/>
          <w:szCs w:val="24"/>
          <w:u w:val="single"/>
        </w:rPr>
      </w:pPr>
      <w:r w:rsidRPr="00F529A7">
        <w:rPr>
          <w:rFonts w:cs="Times New Roman"/>
          <w:szCs w:val="24"/>
          <w:u w:val="single"/>
        </w:rPr>
        <w:t>Avalduv mõju ja mõju olulisus</w:t>
      </w:r>
    </w:p>
    <w:p w14:paraId="768E9FDA" w14:textId="77777777" w:rsidR="000D0219" w:rsidRDefault="000D0219" w:rsidP="000D0219">
      <w:pPr>
        <w:pStyle w:val="NoSpacing"/>
        <w:jc w:val="both"/>
        <w:rPr>
          <w:rFonts w:cs="Times New Roman"/>
          <w:szCs w:val="24"/>
        </w:rPr>
      </w:pPr>
      <w:r>
        <w:rPr>
          <w:rFonts w:cs="Times New Roman"/>
          <w:szCs w:val="24"/>
        </w:rPr>
        <w:t>E</w:t>
      </w:r>
      <w:r w:rsidRPr="006F3749">
        <w:rPr>
          <w:rFonts w:cs="Times New Roman"/>
          <w:szCs w:val="24"/>
        </w:rPr>
        <w:t>elnõuga täpsustatakse peamiselt jäätmete ladustamis</w:t>
      </w:r>
      <w:r>
        <w:rPr>
          <w:rFonts w:cs="Times New Roman"/>
          <w:szCs w:val="24"/>
        </w:rPr>
        <w:t>t:</w:t>
      </w:r>
      <w:r w:rsidRPr="006F3749">
        <w:rPr>
          <w:rFonts w:cs="Times New Roman"/>
          <w:szCs w:val="24"/>
        </w:rPr>
        <w:t xml:space="preserve"> kaotatakse ära nõue jä</w:t>
      </w:r>
      <w:r>
        <w:rPr>
          <w:rFonts w:cs="Times New Roman"/>
          <w:szCs w:val="24"/>
        </w:rPr>
        <w:t>r</w:t>
      </w:r>
      <w:r w:rsidRPr="006F3749">
        <w:rPr>
          <w:rFonts w:cs="Times New Roman"/>
          <w:szCs w:val="24"/>
        </w:rPr>
        <w:t xml:space="preserve">gida jäätmete ladustamisel </w:t>
      </w:r>
      <w:r>
        <w:rPr>
          <w:rFonts w:cs="Times New Roman"/>
          <w:szCs w:val="24"/>
        </w:rPr>
        <w:t xml:space="preserve">ettenähtud </w:t>
      </w:r>
      <w:r w:rsidRPr="006F3749">
        <w:rPr>
          <w:rFonts w:cs="Times New Roman"/>
          <w:szCs w:val="24"/>
        </w:rPr>
        <w:t xml:space="preserve">kaugust </w:t>
      </w:r>
      <w:r>
        <w:rPr>
          <w:rFonts w:cs="Times New Roman"/>
          <w:szCs w:val="24"/>
        </w:rPr>
        <w:t>kinnistu</w:t>
      </w:r>
      <w:r w:rsidRPr="006F3749">
        <w:rPr>
          <w:rFonts w:cs="Times New Roman"/>
          <w:szCs w:val="24"/>
        </w:rPr>
        <w:t xml:space="preserve"> välispiirist. Muudatusega luuakse võimalus jäätmeid ladustada </w:t>
      </w:r>
      <w:r>
        <w:rPr>
          <w:rFonts w:cs="Times New Roman"/>
          <w:szCs w:val="24"/>
        </w:rPr>
        <w:t xml:space="preserve">selleks kõige </w:t>
      </w:r>
      <w:r w:rsidRPr="006F3749">
        <w:rPr>
          <w:rFonts w:cs="Times New Roman"/>
          <w:szCs w:val="24"/>
        </w:rPr>
        <w:t xml:space="preserve">sobivamas kohas eeldusel, </w:t>
      </w:r>
      <w:r>
        <w:rPr>
          <w:rFonts w:cs="Times New Roman"/>
          <w:szCs w:val="24"/>
        </w:rPr>
        <w:t>et tagatud on päästetöö võimalus</w:t>
      </w:r>
      <w:r w:rsidRPr="006F3749">
        <w:rPr>
          <w:rFonts w:cs="Times New Roman"/>
          <w:szCs w:val="24"/>
        </w:rPr>
        <w:t xml:space="preserve"> ja jäätmed asuvad hoonetest eemal. Lisatakse võimalus ladustada hoone keldris küttepuid </w:t>
      </w:r>
      <w:r>
        <w:rPr>
          <w:rFonts w:cs="Times New Roman"/>
          <w:szCs w:val="24"/>
        </w:rPr>
        <w:t>ja</w:t>
      </w:r>
      <w:r w:rsidRPr="006F3749">
        <w:rPr>
          <w:rFonts w:cs="Times New Roman"/>
          <w:szCs w:val="24"/>
        </w:rPr>
        <w:t xml:space="preserve"> generaatori tööks vajalikku kütust. </w:t>
      </w:r>
      <w:r>
        <w:rPr>
          <w:rFonts w:cs="Times New Roman"/>
          <w:szCs w:val="24"/>
        </w:rPr>
        <w:t>Sihtrühm ei pea oma käitumist muutma ega uute nõuetega kohanema. Kuna põlevmaterjali ja jäätmete ladustamise nõuded</w:t>
      </w:r>
      <w:r w:rsidRPr="00201FF5">
        <w:rPr>
          <w:rFonts w:cs="Times New Roman"/>
          <w:szCs w:val="24"/>
        </w:rPr>
        <w:t xml:space="preserve"> </w:t>
      </w:r>
      <w:r>
        <w:rPr>
          <w:rFonts w:cs="Times New Roman"/>
          <w:szCs w:val="24"/>
        </w:rPr>
        <w:t xml:space="preserve">muudetakse lihtsamaks ja selgemaks ning täpsustatakse nõudeid ohtlike ainete ladustamisele, on mõju sihtrühma suuruse tõttu küll </w:t>
      </w:r>
      <w:r w:rsidRPr="00537D11">
        <w:rPr>
          <w:rFonts w:cs="Times New Roman"/>
          <w:b/>
          <w:bCs/>
          <w:szCs w:val="24"/>
        </w:rPr>
        <w:t>oluline, aga selgelt positiivne</w:t>
      </w:r>
      <w:r w:rsidRPr="00537D11">
        <w:rPr>
          <w:rFonts w:cs="Times New Roman"/>
          <w:szCs w:val="24"/>
        </w:rPr>
        <w:t>.</w:t>
      </w:r>
    </w:p>
    <w:p w14:paraId="589769AD" w14:textId="77777777" w:rsidR="000D0219" w:rsidRPr="00530ABB" w:rsidRDefault="000D0219" w:rsidP="000D0219">
      <w:pPr>
        <w:pStyle w:val="FootnoteText"/>
        <w:jc w:val="both"/>
        <w:rPr>
          <w:rFonts w:ascii="Times New Roman" w:hAnsi="Times New Roman"/>
          <w:bCs/>
          <w:iCs/>
          <w:sz w:val="24"/>
          <w:szCs w:val="24"/>
        </w:rPr>
      </w:pPr>
    </w:p>
    <w:p w14:paraId="43BDF8E0" w14:textId="77777777" w:rsidR="000D0219" w:rsidRPr="00F529A7" w:rsidRDefault="000D0219" w:rsidP="000D0219">
      <w:pPr>
        <w:pStyle w:val="Heading3"/>
      </w:pPr>
      <w:bookmarkStart w:id="32" w:name="_Toc149306212"/>
      <w:r>
        <w:t xml:space="preserve">4.1.2. </w:t>
      </w:r>
      <w:r w:rsidRPr="00F529A7">
        <w:t>Mõju riigiasutuste töökorraldusele</w:t>
      </w:r>
      <w:bookmarkEnd w:id="32"/>
    </w:p>
    <w:p w14:paraId="6A0179D9" w14:textId="77777777" w:rsidR="000D0219" w:rsidRDefault="000D0219" w:rsidP="000D0219">
      <w:pPr>
        <w:pStyle w:val="NoSpacing"/>
        <w:keepNext/>
        <w:jc w:val="both"/>
        <w:rPr>
          <w:rFonts w:cs="Times New Roman"/>
          <w:b/>
          <w:bCs/>
          <w:szCs w:val="24"/>
        </w:rPr>
      </w:pPr>
    </w:p>
    <w:p w14:paraId="55AC56D1" w14:textId="77777777" w:rsidR="000D0219" w:rsidRPr="00F529A7" w:rsidRDefault="000D0219" w:rsidP="000D0219">
      <w:pPr>
        <w:pStyle w:val="FootnoteText"/>
        <w:keepNext/>
        <w:jc w:val="both"/>
        <w:rPr>
          <w:rFonts w:ascii="Times New Roman" w:hAnsi="Times New Roman" w:cs="Times New Roman"/>
          <w:iCs/>
          <w:sz w:val="24"/>
          <w:szCs w:val="24"/>
          <w:u w:val="single"/>
        </w:rPr>
      </w:pPr>
      <w:r>
        <w:rPr>
          <w:rFonts w:ascii="Times New Roman" w:hAnsi="Times New Roman" w:cs="Times New Roman"/>
          <w:iCs/>
          <w:sz w:val="24"/>
          <w:szCs w:val="24"/>
          <w:u w:val="single"/>
        </w:rPr>
        <w:t>S</w:t>
      </w:r>
      <w:r w:rsidRPr="00F529A7">
        <w:rPr>
          <w:rFonts w:ascii="Times New Roman" w:hAnsi="Times New Roman" w:cs="Times New Roman"/>
          <w:iCs/>
          <w:sz w:val="24"/>
          <w:szCs w:val="24"/>
          <w:u w:val="single"/>
        </w:rPr>
        <w:t>ihtrühm</w:t>
      </w:r>
    </w:p>
    <w:p w14:paraId="4F8B79B9" w14:textId="77777777" w:rsidR="000D0219" w:rsidRPr="004F7200" w:rsidRDefault="000D0219" w:rsidP="000D0219">
      <w:pPr>
        <w:pStyle w:val="NoSpacing"/>
        <w:jc w:val="both"/>
        <w:rPr>
          <w:color w:val="000000" w:themeColor="text1"/>
          <w:szCs w:val="24"/>
        </w:rPr>
      </w:pPr>
      <w:r>
        <w:rPr>
          <w:rFonts w:cs="Times New Roman"/>
          <w:b/>
          <w:szCs w:val="24"/>
        </w:rPr>
        <w:t>Päästeamet</w:t>
      </w:r>
      <w:r>
        <w:rPr>
          <w:rFonts w:cs="Times New Roman"/>
          <w:szCs w:val="24"/>
        </w:rPr>
        <w:t xml:space="preserve">. Päästeametis </w:t>
      </w:r>
      <w:r w:rsidRPr="004F7200">
        <w:rPr>
          <w:rFonts w:cs="Times New Roman"/>
          <w:szCs w:val="24"/>
        </w:rPr>
        <w:t xml:space="preserve">töötab umbes 2200 </w:t>
      </w:r>
      <w:r>
        <w:rPr>
          <w:rFonts w:cs="Times New Roman"/>
          <w:szCs w:val="24"/>
        </w:rPr>
        <w:t>teenistujat</w:t>
      </w:r>
      <w:r w:rsidRPr="004F7200">
        <w:rPr>
          <w:rFonts w:cs="Times New Roman"/>
          <w:szCs w:val="24"/>
        </w:rPr>
        <w:t xml:space="preserve">. </w:t>
      </w:r>
      <w:r w:rsidRPr="00D563A2">
        <w:rPr>
          <w:rFonts w:cs="Times New Roman"/>
          <w:szCs w:val="24"/>
        </w:rPr>
        <w:t>Muudatus mõjutab eelkõige ohutusjärelevalve ametnikke, keda on suurusjärgus 100.</w:t>
      </w:r>
      <w:r>
        <w:rPr>
          <w:rFonts w:cs="Times New Roman"/>
          <w:szCs w:val="24"/>
        </w:rPr>
        <w:t xml:space="preserve"> </w:t>
      </w:r>
      <w:r w:rsidRPr="004F7200">
        <w:rPr>
          <w:rFonts w:cs="Times New Roman"/>
          <w:szCs w:val="24"/>
        </w:rPr>
        <w:t xml:space="preserve">Arvestades </w:t>
      </w:r>
      <w:r>
        <w:rPr>
          <w:rFonts w:cs="Times New Roman"/>
          <w:szCs w:val="24"/>
        </w:rPr>
        <w:t>Päästeameti teenistujate</w:t>
      </w:r>
      <w:r w:rsidRPr="004F7200">
        <w:rPr>
          <w:rFonts w:cs="Times New Roman"/>
          <w:szCs w:val="24"/>
        </w:rPr>
        <w:t xml:space="preserve"> koguarvu, on sihtrühm </w:t>
      </w:r>
      <w:r>
        <w:rPr>
          <w:rFonts w:cs="Times New Roman"/>
          <w:szCs w:val="24"/>
        </w:rPr>
        <w:t xml:space="preserve">pigem </w:t>
      </w:r>
      <w:r w:rsidRPr="004F7200">
        <w:rPr>
          <w:rFonts w:cs="Times New Roman"/>
          <w:szCs w:val="24"/>
        </w:rPr>
        <w:t>väike.</w:t>
      </w:r>
    </w:p>
    <w:p w14:paraId="34C99A54" w14:textId="77777777" w:rsidR="000D0219" w:rsidRPr="00403ABC" w:rsidRDefault="000D0219" w:rsidP="000D0219">
      <w:pPr>
        <w:pStyle w:val="NoSpacing"/>
        <w:jc w:val="both"/>
        <w:rPr>
          <w:bCs/>
          <w:szCs w:val="24"/>
        </w:rPr>
      </w:pPr>
    </w:p>
    <w:p w14:paraId="3532667A" w14:textId="77777777" w:rsidR="000D0219" w:rsidRPr="00F529A7" w:rsidRDefault="000D0219" w:rsidP="000D0219">
      <w:pPr>
        <w:pStyle w:val="NoSpacing"/>
        <w:keepNext/>
        <w:jc w:val="both"/>
        <w:rPr>
          <w:bCs/>
          <w:szCs w:val="24"/>
          <w:u w:val="single"/>
        </w:rPr>
      </w:pPr>
      <w:r w:rsidRPr="00F529A7">
        <w:rPr>
          <w:bCs/>
          <w:szCs w:val="24"/>
          <w:u w:val="single"/>
        </w:rPr>
        <w:t>Avalduv mõju ja mõju olulisus</w:t>
      </w:r>
    </w:p>
    <w:p w14:paraId="6992279E" w14:textId="77777777" w:rsidR="000D0219" w:rsidRPr="0092214A" w:rsidRDefault="000D0219" w:rsidP="000D0219">
      <w:pPr>
        <w:pStyle w:val="NoSpacing"/>
        <w:jc w:val="both"/>
        <w:rPr>
          <w:bCs/>
          <w:szCs w:val="24"/>
        </w:rPr>
      </w:pPr>
      <w:r>
        <w:rPr>
          <w:bCs/>
          <w:szCs w:val="24"/>
        </w:rPr>
        <w:t>Ü</w:t>
      </w:r>
      <w:r w:rsidRPr="006F3749">
        <w:rPr>
          <w:bCs/>
          <w:szCs w:val="24"/>
        </w:rPr>
        <w:t>le 1000 m</w:t>
      </w:r>
      <w:r w:rsidRPr="00F529A7">
        <w:rPr>
          <w:bCs/>
          <w:szCs w:val="24"/>
          <w:vertAlign w:val="superscript"/>
        </w:rPr>
        <w:t>3</w:t>
      </w:r>
      <w:r w:rsidRPr="006F3749">
        <w:rPr>
          <w:bCs/>
          <w:szCs w:val="24"/>
        </w:rPr>
        <w:t xml:space="preserve"> põlevmaterjali </w:t>
      </w:r>
      <w:r>
        <w:rPr>
          <w:bCs/>
          <w:szCs w:val="24"/>
        </w:rPr>
        <w:t xml:space="preserve">lahtisel </w:t>
      </w:r>
      <w:r w:rsidRPr="006F3749">
        <w:rPr>
          <w:bCs/>
          <w:szCs w:val="24"/>
        </w:rPr>
        <w:t xml:space="preserve">ladustamisel tuleb </w:t>
      </w:r>
      <w:proofErr w:type="spellStart"/>
      <w:r w:rsidRPr="006F3749">
        <w:rPr>
          <w:bCs/>
          <w:szCs w:val="24"/>
        </w:rPr>
        <w:t>ladustajal</w:t>
      </w:r>
      <w:proofErr w:type="spellEnd"/>
      <w:r w:rsidRPr="006F3749">
        <w:rPr>
          <w:bCs/>
          <w:szCs w:val="24"/>
        </w:rPr>
        <w:t xml:space="preserve"> koostada </w:t>
      </w:r>
      <w:r>
        <w:rPr>
          <w:bCs/>
          <w:szCs w:val="24"/>
        </w:rPr>
        <w:t xml:space="preserve">põlevmaterjali lahtise </w:t>
      </w:r>
      <w:r w:rsidRPr="006F3749">
        <w:rPr>
          <w:bCs/>
          <w:szCs w:val="24"/>
        </w:rPr>
        <w:t>ladu</w:t>
      </w:r>
      <w:r>
        <w:rPr>
          <w:bCs/>
          <w:szCs w:val="24"/>
        </w:rPr>
        <w:t xml:space="preserve">stamise plaan ja esitada see </w:t>
      </w:r>
      <w:r w:rsidRPr="006F3749">
        <w:rPr>
          <w:bCs/>
          <w:szCs w:val="24"/>
        </w:rPr>
        <w:t>teadmiseks</w:t>
      </w:r>
      <w:r>
        <w:rPr>
          <w:bCs/>
          <w:szCs w:val="24"/>
        </w:rPr>
        <w:t xml:space="preserve"> Päästeameti asukohajärgsele pääste</w:t>
      </w:r>
      <w:r>
        <w:rPr>
          <w:bCs/>
          <w:szCs w:val="24"/>
        </w:rPr>
        <w:softHyphen/>
        <w:t>keskusele. Kuna põlevmaterjali lahtise ladustamise plaani ei ole vaja enam kooskõlastada, väheneb Päästeameti</w:t>
      </w:r>
      <w:r w:rsidRPr="006F3749">
        <w:rPr>
          <w:bCs/>
          <w:szCs w:val="24"/>
        </w:rPr>
        <w:t xml:space="preserve"> ametnike </w:t>
      </w:r>
      <w:r>
        <w:rPr>
          <w:bCs/>
          <w:szCs w:val="24"/>
        </w:rPr>
        <w:t xml:space="preserve">töökoormus ning kokkuvõttes avaldab muudatus </w:t>
      </w:r>
      <w:r w:rsidRPr="009A4595">
        <w:rPr>
          <w:bCs/>
          <w:szCs w:val="24"/>
        </w:rPr>
        <w:t xml:space="preserve">Päästeametile </w:t>
      </w:r>
      <w:r w:rsidRPr="009A4595">
        <w:rPr>
          <w:b/>
          <w:szCs w:val="24"/>
        </w:rPr>
        <w:t>positiivset mõju</w:t>
      </w:r>
      <w:r w:rsidRPr="009A4595">
        <w:rPr>
          <w:bCs/>
          <w:szCs w:val="24"/>
        </w:rPr>
        <w:t>.</w:t>
      </w:r>
    </w:p>
    <w:p w14:paraId="2706B550" w14:textId="77777777" w:rsidR="000D0219" w:rsidRDefault="000D0219" w:rsidP="000D0219">
      <w:pPr>
        <w:spacing w:line="259" w:lineRule="auto"/>
        <w:rPr>
          <w:rFonts w:eastAsiaTheme="minorHAnsi"/>
          <w:b/>
          <w:bCs/>
        </w:rPr>
      </w:pPr>
    </w:p>
    <w:p w14:paraId="47667A88" w14:textId="7A061F3D" w:rsidR="000D0219" w:rsidRPr="008D002D" w:rsidRDefault="000D0219" w:rsidP="000D0219">
      <w:pPr>
        <w:pStyle w:val="Heading2"/>
        <w:rPr>
          <w:highlight w:val="yellow"/>
        </w:rPr>
      </w:pPr>
      <w:bookmarkStart w:id="33" w:name="_Toc149306213"/>
      <w:r w:rsidRPr="008D002D">
        <w:rPr>
          <w:highlight w:val="yellow"/>
        </w:rPr>
        <w:t xml:space="preserve">4.2. Reguleeritakse </w:t>
      </w:r>
      <w:r w:rsidR="0073437B">
        <w:rPr>
          <w:highlight w:val="yellow"/>
        </w:rPr>
        <w:t>tuleohutus</w:t>
      </w:r>
      <w:r w:rsidRPr="008D002D">
        <w:rPr>
          <w:highlight w:val="yellow"/>
        </w:rPr>
        <w:t>nõuded oht</w:t>
      </w:r>
      <w:r w:rsidRPr="008D002D">
        <w:rPr>
          <w:highlight w:val="yellow"/>
        </w:rPr>
        <w:t>liku aine ladustamisele</w:t>
      </w:r>
      <w:bookmarkEnd w:id="33"/>
    </w:p>
    <w:p w14:paraId="41777D49" w14:textId="77777777" w:rsidR="000D0219" w:rsidRPr="008D002D" w:rsidRDefault="000D0219" w:rsidP="000D0219">
      <w:pPr>
        <w:pStyle w:val="NoSpacing"/>
        <w:jc w:val="both"/>
        <w:rPr>
          <w:rFonts w:cs="Times New Roman"/>
          <w:bCs/>
          <w:szCs w:val="24"/>
          <w:highlight w:val="yellow"/>
        </w:rPr>
      </w:pPr>
    </w:p>
    <w:p w14:paraId="200E371B" w14:textId="447C9252" w:rsidR="000D0219" w:rsidRPr="008D002D" w:rsidRDefault="006203F6" w:rsidP="000D0219">
      <w:pPr>
        <w:pStyle w:val="NoSpacing"/>
        <w:jc w:val="both"/>
        <w:rPr>
          <w:highlight w:val="yellow"/>
        </w:rPr>
      </w:pPr>
      <w:r>
        <w:rPr>
          <w:highlight w:val="yellow"/>
        </w:rPr>
        <w:t>E</w:t>
      </w:r>
      <w:r w:rsidR="000D0219" w:rsidRPr="008D002D">
        <w:rPr>
          <w:highlight w:val="yellow"/>
        </w:rPr>
        <w:t>elnõuga</w:t>
      </w:r>
      <w:r>
        <w:rPr>
          <w:highlight w:val="yellow"/>
        </w:rPr>
        <w:t xml:space="preserve"> 346 </w:t>
      </w:r>
      <w:r>
        <w:rPr>
          <w:highlight w:val="yellow"/>
        </w:rPr>
        <w:t>SE</w:t>
      </w:r>
      <w:r w:rsidR="000D0219" w:rsidRPr="008D002D">
        <w:rPr>
          <w:highlight w:val="yellow"/>
        </w:rPr>
        <w:t xml:space="preserve"> </w:t>
      </w:r>
      <w:r w:rsidR="000E0ECE">
        <w:rPr>
          <w:highlight w:val="yellow"/>
        </w:rPr>
        <w:t xml:space="preserve">vastuvõtmisega </w:t>
      </w:r>
      <w:r w:rsidR="000E0ECE" w:rsidRPr="008D002D">
        <w:rPr>
          <w:highlight w:val="yellow"/>
        </w:rPr>
        <w:t>tunnista</w:t>
      </w:r>
      <w:r w:rsidR="000E0ECE">
        <w:rPr>
          <w:highlight w:val="yellow"/>
        </w:rPr>
        <w:t>s Riigikogu</w:t>
      </w:r>
      <w:r w:rsidR="000E0ECE" w:rsidRPr="008D002D">
        <w:rPr>
          <w:highlight w:val="yellow"/>
        </w:rPr>
        <w:t xml:space="preserve"> </w:t>
      </w:r>
      <w:r w:rsidR="000D0219" w:rsidRPr="008D002D">
        <w:rPr>
          <w:highlight w:val="yellow"/>
        </w:rPr>
        <w:t xml:space="preserve">kehtetuks </w:t>
      </w:r>
      <w:r w:rsidR="000D0219" w:rsidRPr="008D002D">
        <w:rPr>
          <w:highlight w:val="yellow"/>
        </w:rPr>
        <w:t xml:space="preserve">nõuded </w:t>
      </w:r>
      <w:r w:rsidR="00530ABB" w:rsidRPr="008D002D">
        <w:rPr>
          <w:highlight w:val="yellow"/>
        </w:rPr>
        <w:t xml:space="preserve">naftasaaduse, põlevkiviõli ja selle saaduse ning biokütusemahutite </w:t>
      </w:r>
      <w:r w:rsidR="000D0219" w:rsidRPr="008D002D">
        <w:rPr>
          <w:highlight w:val="yellow"/>
        </w:rPr>
        <w:t xml:space="preserve">hoidla kujale, kuna need ei ole olulised vee kaitseks, vaid eelkõige tuleohutuse tagamiseks. </w:t>
      </w:r>
      <w:r w:rsidR="00530ABB" w:rsidRPr="008D002D">
        <w:rPr>
          <w:highlight w:val="yellow"/>
        </w:rPr>
        <w:t>Seega ei ole</w:t>
      </w:r>
      <w:r>
        <w:rPr>
          <w:highlight w:val="yellow"/>
        </w:rPr>
        <w:t xml:space="preserve"> käesoleva</w:t>
      </w:r>
      <w:r w:rsidR="00530ABB" w:rsidRPr="008D002D">
        <w:rPr>
          <w:highlight w:val="yellow"/>
        </w:rPr>
        <w:t xml:space="preserve"> e</w:t>
      </w:r>
      <w:r w:rsidR="000D0219" w:rsidRPr="008D002D">
        <w:rPr>
          <w:highlight w:val="yellow"/>
        </w:rPr>
        <w:t>elnõuga kehtestatavad nõuded sisult uued, vaid muutub õigusakt, milles need kehtestatakse.</w:t>
      </w:r>
      <w:r w:rsidR="00530ABB" w:rsidRPr="008D002D">
        <w:rPr>
          <w:highlight w:val="yellow"/>
        </w:rPr>
        <w:t xml:space="preserve"> Nimetatud h</w:t>
      </w:r>
      <w:r w:rsidR="000D0219" w:rsidRPr="008D002D">
        <w:rPr>
          <w:highlight w:val="yellow"/>
        </w:rPr>
        <w:t xml:space="preserve">oidla kujale esitatavad nõuded on võrreldes kehtiva määrusega leebemad, sest täpsustatakse hoidla </w:t>
      </w:r>
      <w:bookmarkStart w:id="34" w:name="_Hlk156391319"/>
      <w:r w:rsidR="000D0219" w:rsidRPr="008D002D">
        <w:rPr>
          <w:highlight w:val="yellow"/>
        </w:rPr>
        <w:t xml:space="preserve">naftasaaduse, põlevkiviõli ja selle saaduse ning biokütusemahutite </w:t>
      </w:r>
      <w:bookmarkEnd w:id="34"/>
      <w:r w:rsidR="000D0219" w:rsidRPr="008D002D">
        <w:rPr>
          <w:highlight w:val="yellow"/>
        </w:rPr>
        <w:t>võimalikku suurust</w:t>
      </w:r>
      <w:r w:rsidR="00530ABB" w:rsidRPr="008D002D">
        <w:rPr>
          <w:highlight w:val="yellow"/>
        </w:rPr>
        <w:t xml:space="preserve"> ning </w:t>
      </w:r>
      <w:r w:rsidR="00F063FB">
        <w:rPr>
          <w:highlight w:val="yellow"/>
        </w:rPr>
        <w:t>kehtestatakse</w:t>
      </w:r>
      <w:r w:rsidR="00530ABB" w:rsidRPr="008D002D">
        <w:rPr>
          <w:highlight w:val="yellow"/>
        </w:rPr>
        <w:t xml:space="preserve"> </w:t>
      </w:r>
      <w:r w:rsidR="00F063FB">
        <w:rPr>
          <w:highlight w:val="yellow"/>
        </w:rPr>
        <w:t xml:space="preserve">vastavalt hoidlate suurusvahemikele </w:t>
      </w:r>
      <w:r w:rsidR="00EC4676">
        <w:rPr>
          <w:highlight w:val="yellow"/>
        </w:rPr>
        <w:t xml:space="preserve">ka </w:t>
      </w:r>
      <w:r w:rsidR="00F063FB">
        <w:rPr>
          <w:highlight w:val="yellow"/>
        </w:rPr>
        <w:t>vajalikud kujad</w:t>
      </w:r>
      <w:r w:rsidR="000D0219" w:rsidRPr="008D002D">
        <w:rPr>
          <w:highlight w:val="yellow"/>
        </w:rPr>
        <w:t>. Kokku</w:t>
      </w:r>
      <w:r w:rsidR="000D0219" w:rsidRPr="008D002D">
        <w:rPr>
          <w:highlight w:val="yellow"/>
        </w:rPr>
        <w:softHyphen/>
        <w:t xml:space="preserve">võttes puudub eelnõul selliste ainete </w:t>
      </w:r>
      <w:proofErr w:type="spellStart"/>
      <w:r w:rsidR="000D0219" w:rsidRPr="008D002D">
        <w:rPr>
          <w:highlight w:val="yellow"/>
        </w:rPr>
        <w:t>ladustajatele</w:t>
      </w:r>
      <w:proofErr w:type="spellEnd"/>
      <w:r w:rsidR="000D0219" w:rsidRPr="008D002D">
        <w:rPr>
          <w:highlight w:val="yellow"/>
        </w:rPr>
        <w:t xml:space="preserve"> otsene mõju ja mõju pikemalt ei analüüsita.</w:t>
      </w:r>
    </w:p>
    <w:p w14:paraId="5C64DBA0" w14:textId="77777777" w:rsidR="000D0219" w:rsidRPr="008D002D" w:rsidRDefault="000D0219" w:rsidP="000D0219">
      <w:pPr>
        <w:pStyle w:val="NoSpacing"/>
        <w:jc w:val="both"/>
        <w:rPr>
          <w:highlight w:val="yellow"/>
        </w:rPr>
      </w:pPr>
    </w:p>
    <w:p w14:paraId="3EB2B4C9" w14:textId="4738D992" w:rsidR="00530ABB" w:rsidRPr="008D002D" w:rsidRDefault="000D0219" w:rsidP="000D0219">
      <w:pPr>
        <w:pStyle w:val="NoSpacing"/>
        <w:jc w:val="both"/>
        <w:rPr>
          <w:highlight w:val="yellow"/>
        </w:rPr>
      </w:pPr>
      <w:r w:rsidRPr="008D002D">
        <w:rPr>
          <w:highlight w:val="yellow"/>
        </w:rPr>
        <w:t xml:space="preserve">Nõuded ammoniaagirajatise ja hapniku hoiukoha kujale kehtivad edasiulatuvalt. Olemasolevale ammoniaagirajatisele ja hapniku hoiukohale </w:t>
      </w:r>
      <w:r w:rsidR="00530ABB" w:rsidRPr="008D002D">
        <w:rPr>
          <w:highlight w:val="yellow"/>
        </w:rPr>
        <w:t>eelnõus määratud kuja</w:t>
      </w:r>
      <w:r w:rsidRPr="008D002D">
        <w:rPr>
          <w:highlight w:val="yellow"/>
        </w:rPr>
        <w:t xml:space="preserve"> nõudeid ei kohaldata. Päästeamet on planeeri</w:t>
      </w:r>
      <w:r w:rsidR="009D435D">
        <w:rPr>
          <w:highlight w:val="yellow"/>
        </w:rPr>
        <w:t>mis-</w:t>
      </w:r>
      <w:r w:rsidRPr="008D002D">
        <w:rPr>
          <w:highlight w:val="yellow"/>
        </w:rPr>
        <w:t xml:space="preserve"> </w:t>
      </w:r>
      <w:r w:rsidR="009D435D">
        <w:rPr>
          <w:highlight w:val="yellow"/>
        </w:rPr>
        <w:t xml:space="preserve">ja ehitusloa </w:t>
      </w:r>
      <w:r w:rsidRPr="008D002D">
        <w:rPr>
          <w:highlight w:val="yellow"/>
        </w:rPr>
        <w:t xml:space="preserve">menetluses andnud kujade kohta juba </w:t>
      </w:r>
      <w:r w:rsidR="00530ABB" w:rsidRPr="008D002D">
        <w:rPr>
          <w:highlight w:val="yellow"/>
        </w:rPr>
        <w:t xml:space="preserve">praegu </w:t>
      </w:r>
      <w:r w:rsidRPr="008D002D">
        <w:rPr>
          <w:highlight w:val="yellow"/>
        </w:rPr>
        <w:t>soovitusi</w:t>
      </w:r>
      <w:r w:rsidR="00530ABB" w:rsidRPr="008D002D">
        <w:rPr>
          <w:highlight w:val="yellow"/>
        </w:rPr>
        <w:t xml:space="preserve"> ning sihtrühmad</w:t>
      </w:r>
      <w:r w:rsidRPr="008D002D">
        <w:rPr>
          <w:highlight w:val="yellow"/>
        </w:rPr>
        <w:t xml:space="preserve"> </w:t>
      </w:r>
      <w:r w:rsidR="00530ABB" w:rsidRPr="008D002D">
        <w:rPr>
          <w:highlight w:val="yellow"/>
        </w:rPr>
        <w:t>on</w:t>
      </w:r>
      <w:r w:rsidRPr="008D002D">
        <w:rPr>
          <w:highlight w:val="yellow"/>
        </w:rPr>
        <w:t xml:space="preserve"> soovitustega arvestanud. Seetõttu ei kaasne </w:t>
      </w:r>
      <w:r w:rsidR="00530ABB" w:rsidRPr="008D002D">
        <w:rPr>
          <w:highlight w:val="yellow"/>
        </w:rPr>
        <w:t xml:space="preserve">nende ettevõtjate </w:t>
      </w:r>
      <w:r w:rsidRPr="008D002D">
        <w:rPr>
          <w:highlight w:val="yellow"/>
        </w:rPr>
        <w:t xml:space="preserve">käitumises muutusi ega avaldu lisamõju. </w:t>
      </w:r>
    </w:p>
    <w:p w14:paraId="4D51F22D" w14:textId="77777777" w:rsidR="00530ABB" w:rsidRPr="008D002D" w:rsidRDefault="00530ABB" w:rsidP="000D0219">
      <w:pPr>
        <w:pStyle w:val="NoSpacing"/>
        <w:jc w:val="both"/>
        <w:rPr>
          <w:highlight w:val="yellow"/>
        </w:rPr>
      </w:pPr>
    </w:p>
    <w:p w14:paraId="54C0CD1D" w14:textId="77777777" w:rsidR="00530ABB" w:rsidRPr="008D002D" w:rsidRDefault="00530ABB" w:rsidP="00530ABB">
      <w:pPr>
        <w:pStyle w:val="NoSpacing"/>
        <w:jc w:val="both"/>
        <w:rPr>
          <w:b/>
          <w:bCs/>
          <w:highlight w:val="yellow"/>
        </w:rPr>
      </w:pPr>
      <w:r w:rsidRPr="008D002D">
        <w:rPr>
          <w:b/>
          <w:bCs/>
          <w:highlight w:val="yellow"/>
        </w:rPr>
        <w:t>4.2.1 Mõju majandusele ja töökorraldusele</w:t>
      </w:r>
    </w:p>
    <w:p w14:paraId="0E923B40" w14:textId="77777777" w:rsidR="00530ABB" w:rsidRPr="008D002D" w:rsidRDefault="00530ABB" w:rsidP="000D0219">
      <w:pPr>
        <w:pStyle w:val="NoSpacing"/>
        <w:jc w:val="both"/>
        <w:rPr>
          <w:highlight w:val="yellow"/>
        </w:rPr>
      </w:pPr>
    </w:p>
    <w:p w14:paraId="5C1A5284" w14:textId="77777777" w:rsidR="006203F6" w:rsidRDefault="00530ABB" w:rsidP="00530ABB">
      <w:pPr>
        <w:pStyle w:val="NoSpacing"/>
        <w:jc w:val="both"/>
        <w:rPr>
          <w:highlight w:val="yellow"/>
        </w:rPr>
      </w:pPr>
      <w:r w:rsidRPr="008D002D">
        <w:rPr>
          <w:highlight w:val="yellow"/>
          <w:u w:val="single"/>
        </w:rPr>
        <w:t>Sihtrühm:</w:t>
      </w:r>
      <w:r w:rsidRPr="008D002D">
        <w:rPr>
          <w:highlight w:val="yellow"/>
        </w:rPr>
        <w:t xml:space="preserve"> </w:t>
      </w:r>
    </w:p>
    <w:p w14:paraId="6228B55D" w14:textId="094D6AE7" w:rsidR="00305083" w:rsidRPr="008D002D" w:rsidRDefault="00530ABB" w:rsidP="00530ABB">
      <w:pPr>
        <w:pStyle w:val="NoSpacing"/>
        <w:jc w:val="both"/>
        <w:rPr>
          <w:highlight w:val="yellow"/>
        </w:rPr>
      </w:pPr>
      <w:r w:rsidRPr="006C4E52">
        <w:rPr>
          <w:b/>
          <w:bCs/>
          <w:highlight w:val="yellow"/>
        </w:rPr>
        <w:lastRenderedPageBreak/>
        <w:t xml:space="preserve">Ohtlike ainete </w:t>
      </w:r>
      <w:proofErr w:type="spellStart"/>
      <w:r w:rsidRPr="006C4E52">
        <w:rPr>
          <w:b/>
          <w:bCs/>
          <w:highlight w:val="yellow"/>
        </w:rPr>
        <w:t>ladustajad</w:t>
      </w:r>
      <w:proofErr w:type="spellEnd"/>
      <w:r w:rsidRPr="008D002D">
        <w:rPr>
          <w:highlight w:val="yellow"/>
        </w:rPr>
        <w:t xml:space="preserve">, kes ohtlike ainete käitlemisel on igakordselt hinnanud enda poolt käideldava aine koguseid ja omadusi ning võtnud otsuse lähtuda selliste ainete ladustamisel käesolevast määrusest. Sihtrühma suurust on raske hinnata, sest </w:t>
      </w:r>
      <w:r w:rsidR="0073437B">
        <w:rPr>
          <w:highlight w:val="yellow"/>
        </w:rPr>
        <w:t>kui</w:t>
      </w:r>
      <w:r w:rsidR="00305083" w:rsidRPr="008D002D">
        <w:rPr>
          <w:highlight w:val="yellow"/>
        </w:rPr>
        <w:t xml:space="preserve"> </w:t>
      </w:r>
      <w:r w:rsidR="00E4454D">
        <w:rPr>
          <w:highlight w:val="yellow"/>
        </w:rPr>
        <w:t>KemS-i</w:t>
      </w:r>
      <w:r w:rsidR="00E4454D" w:rsidRPr="008D002D">
        <w:rPr>
          <w:highlight w:val="yellow"/>
        </w:rPr>
        <w:t xml:space="preserve"> </w:t>
      </w:r>
      <w:r w:rsidR="00305083" w:rsidRPr="008D002D">
        <w:rPr>
          <w:highlight w:val="yellow"/>
        </w:rPr>
        <w:t xml:space="preserve">§ 3 lg 3 </w:t>
      </w:r>
      <w:r w:rsidR="006203F6">
        <w:rPr>
          <w:highlight w:val="yellow"/>
        </w:rPr>
        <w:t>kohaselt on</w:t>
      </w:r>
      <w:r w:rsidR="00305083" w:rsidRPr="008D002D">
        <w:rPr>
          <w:highlight w:val="yellow"/>
        </w:rPr>
        <w:t xml:space="preserve"> kemikaali käitlemine </w:t>
      </w:r>
      <w:r w:rsidR="006203F6">
        <w:rPr>
          <w:highlight w:val="yellow"/>
        </w:rPr>
        <w:t xml:space="preserve">muuhulgas selle </w:t>
      </w:r>
      <w:r w:rsidR="00305083" w:rsidRPr="008D002D">
        <w:rPr>
          <w:highlight w:val="yellow"/>
          <w:u w:val="single"/>
        </w:rPr>
        <w:t>hoidmine</w:t>
      </w:r>
      <w:r w:rsidR="0073437B">
        <w:rPr>
          <w:highlight w:val="yellow"/>
        </w:rPr>
        <w:t xml:space="preserve">, siis </w:t>
      </w:r>
      <w:r w:rsidR="00305083" w:rsidRPr="008D002D">
        <w:rPr>
          <w:highlight w:val="yellow"/>
        </w:rPr>
        <w:t>se</w:t>
      </w:r>
      <w:r w:rsidR="00971EC0">
        <w:rPr>
          <w:highlight w:val="yellow"/>
        </w:rPr>
        <w:t>da</w:t>
      </w:r>
      <w:r w:rsidR="00305083" w:rsidRPr="008D002D">
        <w:rPr>
          <w:highlight w:val="yellow"/>
        </w:rPr>
        <w:t xml:space="preserve"> </w:t>
      </w:r>
      <w:r w:rsidR="006203F6">
        <w:rPr>
          <w:highlight w:val="yellow"/>
        </w:rPr>
        <w:t xml:space="preserve">saab tõlgendada, et </w:t>
      </w:r>
      <w:r w:rsidR="00305083" w:rsidRPr="008D002D">
        <w:rPr>
          <w:highlight w:val="yellow"/>
        </w:rPr>
        <w:t>ka ohtlike ainete ladustamise</w:t>
      </w:r>
      <w:r w:rsidR="006203F6">
        <w:rPr>
          <w:highlight w:val="yellow"/>
        </w:rPr>
        <w:t>le tuleb kohaldada</w:t>
      </w:r>
      <w:r w:rsidR="00305083" w:rsidRPr="008D002D">
        <w:rPr>
          <w:highlight w:val="yellow"/>
        </w:rPr>
        <w:t xml:space="preserve"> tuleohutusnõu</w:t>
      </w:r>
      <w:r w:rsidR="006203F6">
        <w:rPr>
          <w:highlight w:val="yellow"/>
        </w:rPr>
        <w:t>deid</w:t>
      </w:r>
      <w:r w:rsidR="00305083" w:rsidRPr="008D002D">
        <w:rPr>
          <w:highlight w:val="yellow"/>
        </w:rPr>
        <w:t>. K</w:t>
      </w:r>
      <w:r w:rsidR="006203F6">
        <w:rPr>
          <w:highlight w:val="yellow"/>
        </w:rPr>
        <w:t>eeruline on öelda, k</w:t>
      </w:r>
      <w:r w:rsidR="00305083" w:rsidRPr="008D002D">
        <w:rPr>
          <w:highlight w:val="yellow"/>
        </w:rPr>
        <w:t xml:space="preserve">ui palju </w:t>
      </w:r>
      <w:r w:rsidR="006203F6">
        <w:rPr>
          <w:highlight w:val="yellow"/>
        </w:rPr>
        <w:t xml:space="preserve">on Eestis </w:t>
      </w:r>
      <w:r w:rsidR="00305083" w:rsidRPr="008D002D">
        <w:rPr>
          <w:highlight w:val="yellow"/>
        </w:rPr>
        <w:t xml:space="preserve">selliseid ettevõtteid, kes on kemikaalide käitlejad ja kes oma tegevust ning käideldavaid ohtlikke aineid, sh nende kogust, hindavad sellisteks, et nende ladustamisel </w:t>
      </w:r>
      <w:r w:rsidR="00CA3790">
        <w:rPr>
          <w:highlight w:val="yellow"/>
        </w:rPr>
        <w:t xml:space="preserve">on vaja </w:t>
      </w:r>
      <w:r w:rsidR="00305083" w:rsidRPr="008D002D">
        <w:rPr>
          <w:highlight w:val="yellow"/>
        </w:rPr>
        <w:t>juhinduda käesolevatest nõuetest</w:t>
      </w:r>
      <w:r w:rsidR="006203F6">
        <w:rPr>
          <w:highlight w:val="yellow"/>
        </w:rPr>
        <w:t>.</w:t>
      </w:r>
      <w:r w:rsidR="009D435D">
        <w:rPr>
          <w:highlight w:val="yellow"/>
        </w:rPr>
        <w:t xml:space="preserve"> </w:t>
      </w:r>
      <w:r w:rsidR="006203F6">
        <w:rPr>
          <w:highlight w:val="yellow"/>
        </w:rPr>
        <w:t>E</w:t>
      </w:r>
      <w:r w:rsidR="009D435D">
        <w:rPr>
          <w:highlight w:val="yellow"/>
        </w:rPr>
        <w:t>elnõu koostajatel on olemas vaid teave suurõnnetuse ohuga ja ohtlike ettevõtete kohta</w:t>
      </w:r>
      <w:r w:rsidR="00EC4676">
        <w:rPr>
          <w:highlight w:val="yellow"/>
        </w:rPr>
        <w:t>, keda on Eestis kokku suurusjärgus 340</w:t>
      </w:r>
      <w:r w:rsidR="00305083" w:rsidRPr="008D002D">
        <w:rPr>
          <w:highlight w:val="yellow"/>
        </w:rPr>
        <w:t xml:space="preserve">. </w:t>
      </w:r>
    </w:p>
    <w:p w14:paraId="025BF87F" w14:textId="7A9D3074" w:rsidR="006203F6" w:rsidRDefault="006203F6" w:rsidP="00530ABB">
      <w:pPr>
        <w:pStyle w:val="NoSpacing"/>
        <w:jc w:val="both"/>
        <w:rPr>
          <w:highlight w:val="yellow"/>
        </w:rPr>
      </w:pPr>
    </w:p>
    <w:p w14:paraId="770EA661" w14:textId="232466C2" w:rsidR="00305083" w:rsidRDefault="00E4454D" w:rsidP="00530ABB">
      <w:pPr>
        <w:pStyle w:val="NoSpacing"/>
        <w:jc w:val="both"/>
        <w:rPr>
          <w:highlight w:val="yellow"/>
        </w:rPr>
      </w:pPr>
      <w:r>
        <w:rPr>
          <w:highlight w:val="yellow"/>
        </w:rPr>
        <w:t>KemS-i</w:t>
      </w:r>
      <w:r w:rsidRPr="00EC4676">
        <w:rPr>
          <w:highlight w:val="yellow"/>
        </w:rPr>
        <w:t xml:space="preserve"> </w:t>
      </w:r>
      <w:r w:rsidR="00EC4676" w:rsidRPr="00EC4676">
        <w:rPr>
          <w:highlight w:val="yellow"/>
        </w:rPr>
        <w:t xml:space="preserve">§ 2 lg 1 kohaselt kohaldatakse </w:t>
      </w:r>
      <w:r>
        <w:rPr>
          <w:highlight w:val="yellow"/>
        </w:rPr>
        <w:t>KemS-i</w:t>
      </w:r>
      <w:r w:rsidRPr="00EC4676">
        <w:rPr>
          <w:highlight w:val="yellow"/>
        </w:rPr>
        <w:t xml:space="preserve"> </w:t>
      </w:r>
      <w:r w:rsidR="00EC4676" w:rsidRPr="00EC4676">
        <w:rPr>
          <w:highlight w:val="yellow"/>
        </w:rPr>
        <w:t xml:space="preserve">kemikaalile ja seda sisaldavale tootele ning nende käitlemisele niivõrd, kuivõrd seda ei ole reguleeritud muu seadusega, Riigikogu poolt ratifitseeritud </w:t>
      </w:r>
      <w:proofErr w:type="spellStart"/>
      <w:r w:rsidR="00EC4676" w:rsidRPr="00EC4676">
        <w:rPr>
          <w:highlight w:val="yellow"/>
        </w:rPr>
        <w:t>välislepinguga</w:t>
      </w:r>
      <w:proofErr w:type="spellEnd"/>
      <w:r w:rsidR="00EC4676" w:rsidRPr="00EC4676">
        <w:rPr>
          <w:highlight w:val="yellow"/>
        </w:rPr>
        <w:t xml:space="preserve"> või Euroopa Liidu õigusega.</w:t>
      </w:r>
      <w:r w:rsidR="000E0ECE">
        <w:rPr>
          <w:highlight w:val="yellow"/>
        </w:rPr>
        <w:t xml:space="preserve"> </w:t>
      </w:r>
      <w:proofErr w:type="spellStart"/>
      <w:r>
        <w:rPr>
          <w:highlight w:val="yellow"/>
        </w:rPr>
        <w:t>KemS</w:t>
      </w:r>
      <w:proofErr w:type="spellEnd"/>
      <w:r w:rsidRPr="008D002D">
        <w:rPr>
          <w:highlight w:val="yellow"/>
        </w:rPr>
        <w:t xml:space="preserve"> </w:t>
      </w:r>
      <w:r w:rsidR="00530ABB" w:rsidRPr="008D002D">
        <w:rPr>
          <w:highlight w:val="yellow"/>
        </w:rPr>
        <w:t xml:space="preserve">§ 8 lg 1 </w:t>
      </w:r>
      <w:r w:rsidR="006203F6">
        <w:rPr>
          <w:highlight w:val="yellow"/>
        </w:rPr>
        <w:t>sätestab</w:t>
      </w:r>
      <w:r w:rsidR="00305083" w:rsidRPr="008D002D">
        <w:rPr>
          <w:highlight w:val="yellow"/>
        </w:rPr>
        <w:t xml:space="preserve">, </w:t>
      </w:r>
      <w:r w:rsidR="00530ABB" w:rsidRPr="008D002D">
        <w:rPr>
          <w:highlight w:val="yellow"/>
        </w:rPr>
        <w:t xml:space="preserve">et kemikaali tuleb käidelda inimese elule ja tervisele ning asjale ja keskkonnale ohutult – see tähendab, et kui </w:t>
      </w:r>
      <w:r>
        <w:rPr>
          <w:highlight w:val="yellow"/>
        </w:rPr>
        <w:t>KemS-i</w:t>
      </w:r>
      <w:r w:rsidRPr="008D002D">
        <w:rPr>
          <w:highlight w:val="yellow"/>
        </w:rPr>
        <w:t xml:space="preserve"> </w:t>
      </w:r>
      <w:r w:rsidR="00EC4676">
        <w:rPr>
          <w:highlight w:val="yellow"/>
        </w:rPr>
        <w:t>kohaselt on isik kemikaalide käitleja, siis peab ta seda juba praegu tegema ohutult nii inimese tervisele kui keskkonnale. Käesolev määrus ongi suunatud eelkõige just nimetatud kemikaalide käitlejatele, et tagada ohtlike ainete ladustamisel tuleohutus.</w:t>
      </w:r>
    </w:p>
    <w:p w14:paraId="0BC72267" w14:textId="77777777" w:rsidR="00EC4676" w:rsidRPr="008D002D" w:rsidRDefault="00EC4676" w:rsidP="00530ABB">
      <w:pPr>
        <w:pStyle w:val="NoSpacing"/>
        <w:jc w:val="both"/>
        <w:rPr>
          <w:highlight w:val="yellow"/>
        </w:rPr>
      </w:pPr>
    </w:p>
    <w:p w14:paraId="244A7AA5" w14:textId="321B134A" w:rsidR="000D0219" w:rsidRPr="008D002D" w:rsidRDefault="000D0219" w:rsidP="000D0219">
      <w:pPr>
        <w:pStyle w:val="NoSpacing"/>
        <w:jc w:val="both"/>
        <w:rPr>
          <w:highlight w:val="yellow"/>
        </w:rPr>
      </w:pPr>
      <w:r w:rsidRPr="008D002D">
        <w:rPr>
          <w:highlight w:val="yellow"/>
        </w:rPr>
        <w:t>Suurõnnetuse ohu vähendamiseks kehtestatud nõuded tulenevad Euroopa Liidu õigusest, näiteks direktiivist 2012/18/EL, ja erinevatest juhenditest.</w:t>
      </w:r>
      <w:r w:rsidR="00305083" w:rsidRPr="008D002D">
        <w:rPr>
          <w:highlight w:val="yellow"/>
        </w:rPr>
        <w:t xml:space="preserve"> Käesolev määrus koondab olulised tuleohutusega seotud nõuded, mille järgimine muudaks ohtlike ainete ladustamise ohutumaks.</w:t>
      </w:r>
    </w:p>
    <w:p w14:paraId="7FC9BCA3" w14:textId="77777777" w:rsidR="00305083" w:rsidRPr="008D002D" w:rsidRDefault="00305083" w:rsidP="000D0219">
      <w:pPr>
        <w:pStyle w:val="NoSpacing"/>
        <w:jc w:val="both"/>
        <w:rPr>
          <w:highlight w:val="yellow"/>
        </w:rPr>
      </w:pPr>
    </w:p>
    <w:p w14:paraId="3DC67DE6" w14:textId="4686D800" w:rsidR="006203F6" w:rsidRDefault="00305083" w:rsidP="000D0219">
      <w:pPr>
        <w:pStyle w:val="NoSpacing"/>
        <w:jc w:val="both"/>
        <w:rPr>
          <w:highlight w:val="yellow"/>
        </w:rPr>
      </w:pPr>
      <w:r w:rsidRPr="008D002D">
        <w:rPr>
          <w:highlight w:val="yellow"/>
          <w:u w:val="single"/>
        </w:rPr>
        <w:t>Avalduv mõju:</w:t>
      </w:r>
      <w:r w:rsidRPr="008D002D">
        <w:rPr>
          <w:highlight w:val="yellow"/>
        </w:rPr>
        <w:t xml:space="preserve"> </w:t>
      </w:r>
    </w:p>
    <w:p w14:paraId="0E78D69B" w14:textId="42972F91" w:rsidR="00305083" w:rsidRPr="000849F0" w:rsidRDefault="006203F6" w:rsidP="000D0219">
      <w:pPr>
        <w:pStyle w:val="NoSpacing"/>
        <w:jc w:val="both"/>
      </w:pPr>
      <w:r>
        <w:rPr>
          <w:highlight w:val="yellow"/>
        </w:rPr>
        <w:t>K</w:t>
      </w:r>
      <w:r w:rsidR="00305083" w:rsidRPr="008D002D">
        <w:rPr>
          <w:highlight w:val="yellow"/>
        </w:rPr>
        <w:t>õik ohtlikke aineid ladustavad ettevõt</w:t>
      </w:r>
      <w:r w:rsidR="00971EC0">
        <w:rPr>
          <w:highlight w:val="yellow"/>
        </w:rPr>
        <w:t xml:space="preserve">jad või </w:t>
      </w:r>
      <w:r w:rsidR="00305083" w:rsidRPr="008D002D">
        <w:rPr>
          <w:highlight w:val="yellow"/>
        </w:rPr>
        <w:t xml:space="preserve">isikud on juba praegu </w:t>
      </w:r>
      <w:r w:rsidR="00E4454D">
        <w:rPr>
          <w:highlight w:val="yellow"/>
        </w:rPr>
        <w:t>KemS-i</w:t>
      </w:r>
      <w:r w:rsidR="00E4454D" w:rsidRPr="008D002D">
        <w:rPr>
          <w:highlight w:val="yellow"/>
        </w:rPr>
        <w:t xml:space="preserve"> </w:t>
      </w:r>
      <w:r w:rsidR="00305083" w:rsidRPr="008D002D">
        <w:rPr>
          <w:highlight w:val="yellow"/>
        </w:rPr>
        <w:t xml:space="preserve">kohaselt kohustatud seda tegema inimese elule ja tervisele ning asjale ja keskkonnale ohutult, käesolev määrus annab selleks </w:t>
      </w:r>
      <w:r>
        <w:rPr>
          <w:highlight w:val="yellow"/>
        </w:rPr>
        <w:t>selgemad</w:t>
      </w:r>
      <w:r w:rsidRPr="008D002D">
        <w:rPr>
          <w:highlight w:val="yellow"/>
        </w:rPr>
        <w:t xml:space="preserve"> </w:t>
      </w:r>
      <w:r w:rsidR="00305083" w:rsidRPr="008D002D">
        <w:rPr>
          <w:highlight w:val="yellow"/>
        </w:rPr>
        <w:t xml:space="preserve">juhised. Kas määruse nõudeid järgida või mitte, jääb ohtliku aine </w:t>
      </w:r>
      <w:proofErr w:type="spellStart"/>
      <w:r w:rsidR="00305083" w:rsidRPr="008D002D">
        <w:rPr>
          <w:highlight w:val="yellow"/>
        </w:rPr>
        <w:t>ladustaja</w:t>
      </w:r>
      <w:proofErr w:type="spellEnd"/>
      <w:r w:rsidR="00305083" w:rsidRPr="008D002D">
        <w:rPr>
          <w:highlight w:val="yellow"/>
        </w:rPr>
        <w:t xml:space="preserve"> igakordseks hinnanguks</w:t>
      </w:r>
      <w:r w:rsidR="00305083" w:rsidRPr="0082499D">
        <w:rPr>
          <w:highlight w:val="yellow"/>
        </w:rPr>
        <w:t xml:space="preserve">. </w:t>
      </w:r>
      <w:r w:rsidR="00221D4A" w:rsidRPr="0082499D">
        <w:rPr>
          <w:highlight w:val="yellow"/>
        </w:rPr>
        <w:t xml:space="preserve">Kui alternatiivsete meetoditega on tagatud samaväärne ohutus, siis määruse nõudeid täitma ei pea. Määrus sätestab nõuded, mida ettevõtja saab täita, kui tal puudub muu viis ohtlikke aineid ohutult ladustada </w:t>
      </w:r>
      <w:r w:rsidR="00E80232" w:rsidRPr="0082499D">
        <w:rPr>
          <w:highlight w:val="yellow"/>
        </w:rPr>
        <w:t xml:space="preserve">või ta pole </w:t>
      </w:r>
      <w:r w:rsidR="00221D4A" w:rsidRPr="0082499D">
        <w:rPr>
          <w:highlight w:val="yellow"/>
        </w:rPr>
        <w:t xml:space="preserve">enda käideldavate kemikaalide osas </w:t>
      </w:r>
      <w:r w:rsidR="00E80232" w:rsidRPr="0082499D">
        <w:rPr>
          <w:highlight w:val="yellow"/>
        </w:rPr>
        <w:t xml:space="preserve">teinud </w:t>
      </w:r>
      <w:r w:rsidR="00221D4A" w:rsidRPr="0082499D">
        <w:rPr>
          <w:highlight w:val="yellow"/>
        </w:rPr>
        <w:t>riskide hindamist.</w:t>
      </w:r>
      <w:r w:rsidR="00F40BB9">
        <w:t xml:space="preserve"> </w:t>
      </w:r>
      <w:r w:rsidR="00037B27" w:rsidRPr="008D002D">
        <w:rPr>
          <w:highlight w:val="yellow"/>
        </w:rPr>
        <w:t>N</w:t>
      </w:r>
      <w:r w:rsidR="00037B27">
        <w:rPr>
          <w:highlight w:val="yellow"/>
        </w:rPr>
        <w:t>ii</w:t>
      </w:r>
      <w:r w:rsidR="00037B27" w:rsidRPr="008D002D">
        <w:rPr>
          <w:highlight w:val="yellow"/>
        </w:rPr>
        <w:t xml:space="preserve"> </w:t>
      </w:r>
      <w:r w:rsidR="00305083" w:rsidRPr="008D002D">
        <w:rPr>
          <w:highlight w:val="yellow"/>
        </w:rPr>
        <w:t>saa</w:t>
      </w:r>
      <w:r w:rsidR="00037B27">
        <w:rPr>
          <w:highlight w:val="yellow"/>
        </w:rPr>
        <w:t>vad</w:t>
      </w:r>
      <w:r w:rsidR="00305083" w:rsidRPr="008D002D">
        <w:rPr>
          <w:highlight w:val="yellow"/>
        </w:rPr>
        <w:t xml:space="preserve"> </w:t>
      </w:r>
      <w:r w:rsidR="008D002D" w:rsidRPr="008D002D">
        <w:rPr>
          <w:highlight w:val="yellow"/>
        </w:rPr>
        <w:t xml:space="preserve">nõudeid järgida </w:t>
      </w:r>
      <w:r w:rsidR="00305083" w:rsidRPr="008D002D">
        <w:rPr>
          <w:highlight w:val="yellow"/>
        </w:rPr>
        <w:t xml:space="preserve">spaa ja veekeskuse omanik, aga ka </w:t>
      </w:r>
      <w:r w:rsidR="008D002D" w:rsidRPr="008D002D">
        <w:rPr>
          <w:highlight w:val="yellow"/>
        </w:rPr>
        <w:t xml:space="preserve">suurõnnetuse ohuga ettevõtte omanik. Et ka siiani pidi ohtlikke aineid ohutult ladustama, kuid </w:t>
      </w:r>
      <w:r w:rsidR="00037B27">
        <w:rPr>
          <w:highlight w:val="yellow"/>
        </w:rPr>
        <w:t xml:space="preserve">nõuet täpsustavaid </w:t>
      </w:r>
      <w:r w:rsidR="008D002D" w:rsidRPr="008D002D">
        <w:rPr>
          <w:highlight w:val="yellow"/>
        </w:rPr>
        <w:t>juhiseid ei olnud</w:t>
      </w:r>
      <w:r w:rsidR="00037B27">
        <w:rPr>
          <w:highlight w:val="yellow"/>
        </w:rPr>
        <w:t xml:space="preserve"> kehtestatud</w:t>
      </w:r>
      <w:r w:rsidR="008D002D" w:rsidRPr="008D002D">
        <w:rPr>
          <w:highlight w:val="yellow"/>
        </w:rPr>
        <w:t>, siis on</w:t>
      </w:r>
      <w:r w:rsidR="00037B27">
        <w:rPr>
          <w:highlight w:val="yellow"/>
        </w:rPr>
        <w:t xml:space="preserve"> õigusselguse suurenemisel</w:t>
      </w:r>
      <w:r w:rsidR="008D002D" w:rsidRPr="008D002D">
        <w:rPr>
          <w:highlight w:val="yellow"/>
        </w:rPr>
        <w:t xml:space="preserve"> positiiv</w:t>
      </w:r>
      <w:r w:rsidR="00037B27">
        <w:rPr>
          <w:highlight w:val="yellow"/>
        </w:rPr>
        <w:t>n</w:t>
      </w:r>
      <w:r w:rsidR="008D002D" w:rsidRPr="008D002D">
        <w:rPr>
          <w:highlight w:val="yellow"/>
        </w:rPr>
        <w:t xml:space="preserve">e mõju. Samas on antud lisa 3 </w:t>
      </w:r>
      <w:r w:rsidR="00037B27">
        <w:rPr>
          <w:highlight w:val="yellow"/>
        </w:rPr>
        <w:t>kasutuselevõtuks</w:t>
      </w:r>
      <w:r w:rsidR="00221D4A">
        <w:rPr>
          <w:highlight w:val="yellow"/>
        </w:rPr>
        <w:t xml:space="preserve"> </w:t>
      </w:r>
      <w:r w:rsidR="008D002D" w:rsidRPr="008D002D">
        <w:rPr>
          <w:highlight w:val="yellow"/>
        </w:rPr>
        <w:t xml:space="preserve">üleminekuaeg, et ettevõtted saaksid </w:t>
      </w:r>
      <w:r w:rsidR="00037B27">
        <w:rPr>
          <w:highlight w:val="yellow"/>
        </w:rPr>
        <w:t>kohaneda</w:t>
      </w:r>
      <w:r w:rsidR="00037B27" w:rsidRPr="008D002D">
        <w:rPr>
          <w:highlight w:val="yellow"/>
        </w:rPr>
        <w:t xml:space="preserve"> </w:t>
      </w:r>
      <w:r w:rsidR="008D002D" w:rsidRPr="008D002D">
        <w:rPr>
          <w:highlight w:val="yellow"/>
        </w:rPr>
        <w:t>lisandunud võimalustega ohtlike ainete ladustamisel.</w:t>
      </w:r>
    </w:p>
    <w:p w14:paraId="40170F2C" w14:textId="77777777" w:rsidR="00BD6023" w:rsidRDefault="00BD6023" w:rsidP="000D0219">
      <w:pPr>
        <w:pStyle w:val="Heading1"/>
      </w:pPr>
      <w:bookmarkStart w:id="35" w:name="_Toc149306214"/>
    </w:p>
    <w:p w14:paraId="07805143" w14:textId="05C3B583" w:rsidR="000D0219" w:rsidRPr="00B701C8" w:rsidRDefault="000D0219" w:rsidP="000D0219">
      <w:pPr>
        <w:pStyle w:val="Heading1"/>
      </w:pPr>
      <w:r w:rsidRPr="00B701C8">
        <w:t>5. Määruse rakendamisega seotud tegevused, vajalikud kulud ja määruse rakendamise eeldatavad tulud</w:t>
      </w:r>
      <w:bookmarkEnd w:id="35"/>
    </w:p>
    <w:p w14:paraId="60BA227F" w14:textId="77777777" w:rsidR="000D0219" w:rsidRPr="00B701C8" w:rsidRDefault="000D0219" w:rsidP="000D0219">
      <w:pPr>
        <w:pStyle w:val="NoSpacing"/>
        <w:jc w:val="both"/>
      </w:pPr>
    </w:p>
    <w:p w14:paraId="5FCA53F4" w14:textId="237FAE21" w:rsidR="000D0219" w:rsidRPr="00B701C8" w:rsidRDefault="000D0219" w:rsidP="000D0219">
      <w:pPr>
        <w:pStyle w:val="NoSpacing"/>
        <w:jc w:val="both"/>
        <w:rPr>
          <w:b/>
          <w:bCs/>
        </w:rPr>
      </w:pPr>
      <w:r w:rsidRPr="00B701C8">
        <w:t>Eeldatavaid tegevusi, kulusid ja tulusid eelnõu rakendamisega ei kaasne.</w:t>
      </w:r>
      <w:r>
        <w:t xml:space="preserve"> Eelnõuga täpsustatakse olemasolevaid nõudeid ja pigem leevendatakse neid. Uusi kohustusi </w:t>
      </w:r>
      <w:r w:rsidR="002C2838">
        <w:t xml:space="preserve">otseselt olemasolevatele ladustamisenõuetele </w:t>
      </w:r>
      <w:r>
        <w:t xml:space="preserve">ei lisata. Peamiselt on nõuded samad, mis kehtivas määruses. Nõuded </w:t>
      </w:r>
      <w:r w:rsidR="00BD6023" w:rsidRPr="00BD6023">
        <w:t xml:space="preserve">naftasaaduse, põlevkiviõli ja selle saaduse ning biokütuse hoidla </w:t>
      </w:r>
      <w:r w:rsidRPr="00D83423">
        <w:t>kuja</w:t>
      </w:r>
      <w:r>
        <w:t>le on praegu vee</w:t>
      </w:r>
      <w:r>
        <w:softHyphen/>
        <w:t xml:space="preserve">seaduses. Need tuuakse sellest eelnõuga üle ja leevendatakse neid. Nõuded ammoniaagirajatise ja hapniku hoiukoha kujale kehtivad vaid uute ehitiste kohta, olemasolevatele </w:t>
      </w:r>
      <w:r w:rsidR="00BD6023">
        <w:t xml:space="preserve">ja ehitamisel olevatele </w:t>
      </w:r>
      <w:r>
        <w:t>neid ei kohaldata.</w:t>
      </w:r>
      <w:r w:rsidR="00BD6023">
        <w:t xml:space="preserve"> Lisaks kehtestatakse üleminekuaeg eelnõu lisa 3 kohase ohtlike ainete ladustamisel ühtesobivuse kasutamiseks</w:t>
      </w:r>
    </w:p>
    <w:p w14:paraId="70038E1B" w14:textId="77777777" w:rsidR="000D0219" w:rsidRPr="00B701C8" w:rsidRDefault="000D0219" w:rsidP="000D0219">
      <w:pPr>
        <w:pStyle w:val="NoSpacing"/>
        <w:jc w:val="both"/>
        <w:rPr>
          <w:b/>
          <w:bCs/>
        </w:rPr>
      </w:pPr>
    </w:p>
    <w:p w14:paraId="536F932D" w14:textId="77777777" w:rsidR="000D0219" w:rsidRDefault="000D0219" w:rsidP="000D0219">
      <w:pPr>
        <w:pStyle w:val="Heading1"/>
        <w:keepNext/>
      </w:pPr>
      <w:bookmarkStart w:id="36" w:name="_Toc149306215"/>
      <w:r w:rsidRPr="00B701C8">
        <w:lastRenderedPageBreak/>
        <w:t>6. Määruse jõustumine</w:t>
      </w:r>
      <w:bookmarkEnd w:id="36"/>
    </w:p>
    <w:p w14:paraId="7A6DF871" w14:textId="77777777" w:rsidR="000D0219" w:rsidRDefault="000D0219" w:rsidP="000D0219">
      <w:pPr>
        <w:pStyle w:val="NoSpacing"/>
        <w:keepNext/>
        <w:jc w:val="both"/>
        <w:rPr>
          <w:rFonts w:cs="Times New Roman"/>
          <w:szCs w:val="24"/>
        </w:rPr>
      </w:pPr>
    </w:p>
    <w:p w14:paraId="67E0F1BF" w14:textId="662781B6" w:rsidR="000D0219" w:rsidRPr="00BD38F1" w:rsidRDefault="000D0219" w:rsidP="000D0219">
      <w:pPr>
        <w:pStyle w:val="NoSpacing"/>
        <w:jc w:val="both"/>
        <w:rPr>
          <w:rFonts w:cs="Times New Roman"/>
          <w:szCs w:val="24"/>
        </w:rPr>
      </w:pPr>
      <w:r w:rsidRPr="00BD38F1">
        <w:rPr>
          <w:rFonts w:cs="Times New Roman"/>
          <w:szCs w:val="24"/>
        </w:rPr>
        <w:t xml:space="preserve">Määrus jõustub </w:t>
      </w:r>
      <w:r w:rsidRPr="00FE14C3">
        <w:t>1. jaanuaril 2024. aastal</w:t>
      </w:r>
      <w:r w:rsidRPr="00BD38F1">
        <w:rPr>
          <w:rFonts w:cs="Times New Roman"/>
          <w:szCs w:val="24"/>
        </w:rPr>
        <w:t xml:space="preserve">. </w:t>
      </w:r>
      <w:r>
        <w:rPr>
          <w:rFonts w:cs="Times New Roman"/>
          <w:szCs w:val="24"/>
        </w:rPr>
        <w:t xml:space="preserve">Jõustumisaeg </w:t>
      </w:r>
      <w:r w:rsidRPr="00F529A7">
        <w:rPr>
          <w:rFonts w:cs="Times New Roman"/>
          <w:szCs w:val="24"/>
        </w:rPr>
        <w:t xml:space="preserve">on seotud </w:t>
      </w:r>
      <w:r w:rsidR="006355B2">
        <w:rPr>
          <w:rFonts w:cs="Times New Roman"/>
          <w:szCs w:val="24"/>
        </w:rPr>
        <w:t xml:space="preserve">Riigikogus vastuvõetud </w:t>
      </w:r>
      <w:r>
        <w:rPr>
          <w:rFonts w:cs="Times New Roman"/>
          <w:szCs w:val="24"/>
        </w:rPr>
        <w:t>eelnõu</w:t>
      </w:r>
      <w:r w:rsidRPr="00F529A7">
        <w:rPr>
          <w:rFonts w:cs="Times New Roman"/>
          <w:szCs w:val="24"/>
        </w:rPr>
        <w:t>ga</w:t>
      </w:r>
      <w:r w:rsidR="006203F6">
        <w:rPr>
          <w:rFonts w:cs="Times New Roman"/>
          <w:szCs w:val="24"/>
        </w:rPr>
        <w:t xml:space="preserve"> 346 SE</w:t>
      </w:r>
      <w:r w:rsidRPr="00CE008C">
        <w:rPr>
          <w:rFonts w:cs="Times New Roman"/>
          <w:szCs w:val="24"/>
        </w:rPr>
        <w:t>.</w:t>
      </w:r>
      <w:r w:rsidRPr="00F529A7">
        <w:rPr>
          <w:rFonts w:cs="Times New Roman"/>
          <w:szCs w:val="24"/>
        </w:rPr>
        <w:t xml:space="preserve"> </w:t>
      </w:r>
      <w:r w:rsidRPr="00BD38F1">
        <w:rPr>
          <w:rFonts w:cs="Times New Roman"/>
          <w:szCs w:val="24"/>
        </w:rPr>
        <w:t xml:space="preserve">Kuna määruse rakendamisega ei kaasne </w:t>
      </w:r>
      <w:r>
        <w:rPr>
          <w:rFonts w:cs="Times New Roman"/>
          <w:szCs w:val="24"/>
        </w:rPr>
        <w:t>lisa</w:t>
      </w:r>
      <w:r w:rsidRPr="00BD38F1">
        <w:rPr>
          <w:rFonts w:cs="Times New Roman"/>
          <w:szCs w:val="24"/>
        </w:rPr>
        <w:t xml:space="preserve">tegevusi, puudub vajadus planeerida muudatustega kohanemiseks </w:t>
      </w:r>
      <w:r>
        <w:rPr>
          <w:rFonts w:cs="Times New Roman"/>
          <w:szCs w:val="24"/>
        </w:rPr>
        <w:t>lisa</w:t>
      </w:r>
      <w:r w:rsidRPr="00BD38F1">
        <w:rPr>
          <w:rFonts w:cs="Times New Roman"/>
          <w:szCs w:val="24"/>
        </w:rPr>
        <w:t>aega.</w:t>
      </w:r>
    </w:p>
    <w:p w14:paraId="3BA71F67" w14:textId="77777777" w:rsidR="000D0219" w:rsidRPr="00BD38F1" w:rsidRDefault="000D0219" w:rsidP="000D0219">
      <w:pPr>
        <w:pStyle w:val="NoSpacing"/>
        <w:jc w:val="both"/>
      </w:pPr>
    </w:p>
    <w:p w14:paraId="156C854B" w14:textId="77777777" w:rsidR="000D0219" w:rsidRPr="00BD38F1" w:rsidRDefault="000D0219" w:rsidP="000D0219">
      <w:pPr>
        <w:pStyle w:val="Heading1"/>
      </w:pPr>
      <w:bookmarkStart w:id="37" w:name="_Toc149306216"/>
      <w:r w:rsidRPr="00BD38F1">
        <w:t>7.</w:t>
      </w:r>
      <w:r>
        <w:t> </w:t>
      </w:r>
      <w:r w:rsidRPr="00BD38F1">
        <w:t>Eelnõu kooskõlastamine, huvirühmade kaasamine ja avalik konsultatsioon</w:t>
      </w:r>
      <w:bookmarkEnd w:id="37"/>
    </w:p>
    <w:p w14:paraId="7F423DAC" w14:textId="77777777" w:rsidR="000D0219" w:rsidRPr="00BD38F1" w:rsidRDefault="000D0219" w:rsidP="000D0219">
      <w:pPr>
        <w:pStyle w:val="NoSpacing"/>
        <w:keepNext/>
        <w:jc w:val="both"/>
      </w:pPr>
    </w:p>
    <w:p w14:paraId="30B297FC" w14:textId="7B1B7C4C" w:rsidR="00F54D03" w:rsidRPr="000D0219" w:rsidRDefault="000D0219" w:rsidP="007377F3">
      <w:pPr>
        <w:pStyle w:val="NoSpacing"/>
        <w:jc w:val="both"/>
      </w:pPr>
      <w:r w:rsidRPr="00BD38F1">
        <w:rPr>
          <w:iCs/>
        </w:rPr>
        <w:t>Eelnõu esitat</w:t>
      </w:r>
      <w:r w:rsidR="006203F6">
        <w:rPr>
          <w:iCs/>
        </w:rPr>
        <w:t>i</w:t>
      </w:r>
      <w:r w:rsidRPr="00BD38F1">
        <w:rPr>
          <w:iCs/>
        </w:rPr>
        <w:t xml:space="preserve"> eelnõude infosüsteemi (EIS) kaudu kooskõlastamiseks</w:t>
      </w:r>
      <w:r>
        <w:rPr>
          <w:iCs/>
        </w:rPr>
        <w:t xml:space="preserve"> Kliimaministee</w:t>
      </w:r>
      <w:r>
        <w:rPr>
          <w:iCs/>
        </w:rPr>
        <w:softHyphen/>
        <w:t>riumile ja</w:t>
      </w:r>
      <w:r w:rsidRPr="00BD38F1">
        <w:rPr>
          <w:iCs/>
        </w:rPr>
        <w:t xml:space="preserve"> Majandus- ja Kommunikatsiooniministeeriumile</w:t>
      </w:r>
      <w:r>
        <w:rPr>
          <w:iCs/>
        </w:rPr>
        <w:t xml:space="preserve"> </w:t>
      </w:r>
      <w:r w:rsidRPr="008109F2">
        <w:rPr>
          <w:iCs/>
        </w:rPr>
        <w:t>ning arvamuse avaldamiseks Päästeametile, Sisekaitseakadeemiale</w:t>
      </w:r>
      <w:r>
        <w:rPr>
          <w:iCs/>
        </w:rPr>
        <w:t xml:space="preserve"> ja</w:t>
      </w:r>
      <w:r w:rsidRPr="008109F2">
        <w:rPr>
          <w:iCs/>
        </w:rPr>
        <w:t xml:space="preserve"> Transpordiametile</w:t>
      </w:r>
      <w:r>
        <w:rPr>
          <w:iCs/>
        </w:rPr>
        <w:t xml:space="preserve"> ning </w:t>
      </w:r>
      <w:r w:rsidRPr="008109F2">
        <w:rPr>
          <w:iCs/>
        </w:rPr>
        <w:t>Autode Müügi- ja Teenindus</w:t>
      </w:r>
      <w:r>
        <w:rPr>
          <w:iCs/>
        </w:rPr>
        <w:softHyphen/>
      </w:r>
      <w:r w:rsidRPr="008109F2">
        <w:rPr>
          <w:iCs/>
        </w:rPr>
        <w:t>ettevõtete Eesti Liidule</w:t>
      </w:r>
      <w:r>
        <w:rPr>
          <w:iCs/>
        </w:rPr>
        <w:t xml:space="preserve">, </w:t>
      </w:r>
      <w:r w:rsidRPr="008109F2">
        <w:rPr>
          <w:iCs/>
        </w:rPr>
        <w:t>Eesti Keemiatööstuse Liidule</w:t>
      </w:r>
      <w:r>
        <w:rPr>
          <w:iCs/>
        </w:rPr>
        <w:t xml:space="preserve">, </w:t>
      </w:r>
      <w:r w:rsidRPr="008109F2">
        <w:rPr>
          <w:iCs/>
        </w:rPr>
        <w:t>Eesti Tuleohutusekspertide Liidule</w:t>
      </w:r>
      <w:r>
        <w:rPr>
          <w:iCs/>
        </w:rPr>
        <w:t xml:space="preserve">, </w:t>
      </w:r>
      <w:r w:rsidRPr="008109F2">
        <w:rPr>
          <w:iCs/>
        </w:rPr>
        <w:t>Eesti Tuleohutuspaigaldiste Hooldajate Keskliidule</w:t>
      </w:r>
      <w:r>
        <w:rPr>
          <w:iCs/>
        </w:rPr>
        <w:t xml:space="preserve">, </w:t>
      </w:r>
      <w:r w:rsidRPr="008109F2">
        <w:rPr>
          <w:iCs/>
        </w:rPr>
        <w:t>Eesti Turvaettevõtete Liidule</w:t>
      </w:r>
      <w:r>
        <w:rPr>
          <w:iCs/>
        </w:rPr>
        <w:t xml:space="preserve"> ja </w:t>
      </w:r>
      <w:r w:rsidRPr="008109F2">
        <w:rPr>
          <w:iCs/>
        </w:rPr>
        <w:t>MTÜ-le Eesti Tuleohutusspetsialistid</w:t>
      </w:r>
      <w:r>
        <w:rPr>
          <w:iCs/>
        </w:rPr>
        <w:t>.</w:t>
      </w:r>
      <w:r w:rsidR="00037B27">
        <w:rPr>
          <w:iCs/>
        </w:rPr>
        <w:t xml:space="preserve"> Eelnõule esitatud märkuste ja nendega arvestamise tabel on toodud seletuskirja lisas.</w:t>
      </w:r>
    </w:p>
    <w:sectPr w:rsidR="00F54D03" w:rsidRPr="000D0219">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erike Ring" w:date="2024-02-14T11:32:00Z" w:initials="MR">
    <w:p w14:paraId="52F6B8EE" w14:textId="4475721E" w:rsidR="005C5974" w:rsidRDefault="005C5974">
      <w:pPr>
        <w:pStyle w:val="CommentText"/>
      </w:pPr>
      <w:r>
        <w:rPr>
          <w:rStyle w:val="CommentReference"/>
        </w:rPr>
        <w:annotationRef/>
      </w:r>
      <w:r>
        <w:rPr>
          <w:color w:val="000000"/>
        </w:rPr>
        <w:t>Kliimaministeerium peaks andma hinnangu, kas kasutatud patareid ja akud on olmejäätmed. Loogika ütleb, et kui patareid ja akud tuleb liigiti koguda, ei saa neid nimetada olmejäätmeteks, kuna sel juhul võib neid visata olmejäätmete hulka ning ladestada prügimäele.</w:t>
      </w:r>
    </w:p>
    <w:p w14:paraId="5E21776C" w14:textId="77777777" w:rsidR="005C5974" w:rsidRDefault="005C5974">
      <w:pPr>
        <w:pStyle w:val="CommentText"/>
      </w:pPr>
      <w:r>
        <w:rPr>
          <w:color w:val="000000"/>
        </w:rPr>
        <w:t>Kas antud määrus reguleerib kuidagi ka suures koguses hoiustatavaid kasutusel olevaid akusid ja patareisid? Kas nende osas tuleohtu ei nähta?</w:t>
      </w:r>
    </w:p>
    <w:p w14:paraId="44EF58D4" w14:textId="77777777" w:rsidR="005C5974" w:rsidRDefault="0082499D">
      <w:pPr>
        <w:pStyle w:val="CommentText"/>
      </w:pPr>
      <w:hyperlink r:id="rId1" w:history="1">
        <w:r w:rsidR="005C5974" w:rsidRPr="00387A1B">
          <w:rPr>
            <w:rStyle w:val="Hyperlink"/>
          </w:rPr>
          <w:t>https://ctif.org/news/large-explosion-and-fire-french-lithium-battery-warehouse</w:t>
        </w:r>
      </w:hyperlink>
      <w:r w:rsidR="005C5974">
        <w:rPr>
          <w:color w:val="000000"/>
        </w:rPr>
        <w:t xml:space="preserve"> </w:t>
      </w:r>
    </w:p>
    <w:p w14:paraId="01916F17" w14:textId="77777777" w:rsidR="005C5974" w:rsidRDefault="005C5974" w:rsidP="00387A1B">
      <w:pPr>
        <w:pStyle w:val="CommentText"/>
      </w:pPr>
      <w:r>
        <w:rPr>
          <w:color w:val="000000"/>
        </w:rPr>
        <w:t>Ka Eestisse planeeritakse suure akupargi ehitamist: </w:t>
      </w:r>
      <w:hyperlink r:id="rId2" w:history="1">
        <w:r w:rsidRPr="00387A1B">
          <w:rPr>
            <w:rStyle w:val="Hyperlink"/>
          </w:rPr>
          <w:t>https://www.err.ee/1609168060/evecon-rajab-koos-prantslastega-harjumaale-euroopa-voimsaima-akupargi</w:t>
        </w:r>
      </w:hyperlink>
      <w:r>
        <w:rPr>
          <w:color w:val="000000"/>
        </w:rPr>
        <w:t xml:space="preserve"> </w:t>
      </w:r>
    </w:p>
  </w:comment>
  <w:comment w:id="15" w:author="Helen Ojamaa-Muru" w:date="2024-02-19T10:40:00Z" w:initials="HOM">
    <w:p w14:paraId="34B05113" w14:textId="7C7D0005" w:rsidR="005D011B" w:rsidRDefault="005D011B">
      <w:pPr>
        <w:pStyle w:val="CommentText"/>
      </w:pPr>
      <w:r>
        <w:rPr>
          <w:rStyle w:val="CommentReference"/>
        </w:rPr>
        <w:annotationRef/>
      </w:r>
      <w:r>
        <w:t>On olmejäätmed – vt JäätS § 7 lg 1 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16F17" w15:done="0"/>
  <w15:commentEx w15:paraId="34B05113" w15:paraIdParent="01916F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233E" w16cex:dateUtc="2024-02-14T09:32:00Z"/>
  <w16cex:commentExtensible w16cex:durableId="297DAEB6" w16cex:dateUtc="2024-02-19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16F17" w16cid:durableId="2977233E"/>
  <w16cid:commentId w16cid:paraId="34B05113" w16cid:durableId="297DA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E202" w14:textId="77777777" w:rsidR="00187C60" w:rsidRDefault="00187C60" w:rsidP="00CA1828">
      <w:r>
        <w:separator/>
      </w:r>
    </w:p>
  </w:endnote>
  <w:endnote w:type="continuationSeparator" w:id="0">
    <w:p w14:paraId="01EB774A" w14:textId="77777777" w:rsidR="00187C60" w:rsidRDefault="00187C60" w:rsidP="00CA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21924627"/>
      <w:docPartObj>
        <w:docPartGallery w:val="Page Numbers (Bottom of Page)"/>
        <w:docPartUnique/>
      </w:docPartObj>
    </w:sdtPr>
    <w:sdtEndPr/>
    <w:sdtContent>
      <w:p w14:paraId="7C0820D9" w14:textId="1269F14D" w:rsidR="006769A6" w:rsidRPr="006E3D46" w:rsidRDefault="006769A6" w:rsidP="00425D8F">
        <w:pPr>
          <w:pStyle w:val="Footer"/>
          <w:jc w:val="center"/>
          <w:rPr>
            <w:rFonts w:ascii="Times New Roman" w:hAnsi="Times New Roman" w:cs="Times New Roman"/>
            <w:sz w:val="24"/>
            <w:szCs w:val="24"/>
          </w:rPr>
        </w:pPr>
        <w:r w:rsidRPr="006E3D46">
          <w:rPr>
            <w:rFonts w:ascii="Times New Roman" w:hAnsi="Times New Roman" w:cs="Times New Roman"/>
            <w:sz w:val="24"/>
            <w:szCs w:val="24"/>
          </w:rPr>
          <w:fldChar w:fldCharType="begin"/>
        </w:r>
        <w:r w:rsidRPr="00A90C16">
          <w:rPr>
            <w:rFonts w:ascii="Times New Roman" w:hAnsi="Times New Roman" w:cs="Times New Roman"/>
            <w:sz w:val="24"/>
            <w:szCs w:val="24"/>
          </w:rPr>
          <w:instrText>PAGE   \* MERGEFORMAT</w:instrText>
        </w:r>
        <w:r w:rsidRPr="006E3D46">
          <w:rPr>
            <w:rFonts w:ascii="Times New Roman" w:hAnsi="Times New Roman" w:cs="Times New Roman"/>
            <w:sz w:val="24"/>
            <w:szCs w:val="24"/>
          </w:rPr>
          <w:fldChar w:fldCharType="separate"/>
        </w:r>
        <w:r w:rsidR="003B1568">
          <w:rPr>
            <w:rFonts w:ascii="Times New Roman" w:hAnsi="Times New Roman" w:cs="Times New Roman"/>
            <w:noProof/>
            <w:sz w:val="24"/>
            <w:szCs w:val="24"/>
          </w:rPr>
          <w:t>1</w:t>
        </w:r>
        <w:r w:rsidRPr="006E3D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BD4F" w14:textId="77777777" w:rsidR="00187C60" w:rsidRDefault="00187C60" w:rsidP="00CA1828">
      <w:r>
        <w:separator/>
      </w:r>
    </w:p>
  </w:footnote>
  <w:footnote w:type="continuationSeparator" w:id="0">
    <w:p w14:paraId="090BC653" w14:textId="77777777" w:rsidR="00187C60" w:rsidRDefault="00187C60" w:rsidP="00CA1828">
      <w:r>
        <w:continuationSeparator/>
      </w:r>
    </w:p>
  </w:footnote>
  <w:footnote w:id="1">
    <w:p w14:paraId="0E8C6609" w14:textId="497B4EAA"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w:t>
      </w:r>
      <w:hyperlink r:id="rId1" w:history="1">
        <w:r w:rsidR="00992140" w:rsidRPr="00BF4F42">
          <w:rPr>
            <w:rStyle w:val="Hyperlink"/>
            <w:rFonts w:ascii="Times New Roman" w:hAnsi="Times New Roman" w:cs="Times New Roman"/>
            <w:sz w:val="18"/>
            <w:szCs w:val="18"/>
          </w:rPr>
          <w:t>346 SE.</w:t>
        </w:r>
      </w:hyperlink>
    </w:p>
  </w:footnote>
  <w:footnote w:id="2">
    <w:p w14:paraId="3B332144" w14:textId="13658B61" w:rsidR="000D0219" w:rsidRPr="00BF4F42" w:rsidRDefault="000D0219" w:rsidP="000D0219">
      <w:pPr>
        <w:pStyle w:val="FootnoteText"/>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w:t>
      </w:r>
      <w:r w:rsidR="00992140" w:rsidRPr="00BF4F42">
        <w:rPr>
          <w:rFonts w:ascii="Times New Roman" w:hAnsi="Times New Roman" w:cs="Times New Roman"/>
          <w:sz w:val="18"/>
          <w:szCs w:val="18"/>
        </w:rPr>
        <w:t>Vt viide 1.</w:t>
      </w:r>
    </w:p>
  </w:footnote>
  <w:footnote w:id="3">
    <w:p w14:paraId="338FF7CF"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Majandus- ja taristuministri 11. jaanuari 2016. aasta määrus nr 5 „</w:t>
      </w:r>
      <w:hyperlink r:id="rId2" w:history="1">
        <w:r w:rsidRPr="00BF4F42">
          <w:rPr>
            <w:rStyle w:val="Hyperlink"/>
            <w:rFonts w:ascii="Times New Roman" w:hAnsi="Times New Roman" w:cs="Times New Roman"/>
            <w:sz w:val="18"/>
            <w:szCs w:val="18"/>
          </w:rPr>
          <w:t>Erinõuded ammooniumnitraadi käitlemisele</w:t>
        </w:r>
      </w:hyperlink>
      <w:r w:rsidRPr="00BF4F42">
        <w:rPr>
          <w:rFonts w:ascii="Times New Roman" w:hAnsi="Times New Roman" w:cs="Times New Roman"/>
          <w:sz w:val="18"/>
          <w:szCs w:val="18"/>
        </w:rPr>
        <w:t>“.</w:t>
      </w:r>
    </w:p>
  </w:footnote>
  <w:footnote w:id="4">
    <w:p w14:paraId="35228C54"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Majandus- ja taristuministri 3. juuli 2015. aasta määrus nr 87 „</w:t>
      </w:r>
      <w:hyperlink r:id="rId3" w:history="1">
        <w:r w:rsidRPr="00BF4F42">
          <w:rPr>
            <w:rStyle w:val="Hyperlink"/>
            <w:rFonts w:ascii="Times New Roman" w:hAnsi="Times New Roman" w:cs="Times New Roman"/>
            <w:sz w:val="18"/>
            <w:szCs w:val="18"/>
          </w:rPr>
          <w:t>Küttegaasi kasutavale gaasipaigaldisele, selle ehitamisele ja gaasiseadme paigaldamisele ning gaasiballooni ladustamisele ja gaasianuma täitmisele esitatavad nõuded</w:t>
        </w:r>
      </w:hyperlink>
      <w:r w:rsidRPr="00BF4F42">
        <w:rPr>
          <w:rFonts w:ascii="Times New Roman" w:hAnsi="Times New Roman" w:cs="Times New Roman"/>
          <w:sz w:val="18"/>
          <w:szCs w:val="18"/>
        </w:rPr>
        <w:t>“.</w:t>
      </w:r>
    </w:p>
  </w:footnote>
  <w:footnote w:id="5">
    <w:p w14:paraId="096E3AFA"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Majandus- ja kommunikatsiooniministri 7. augusti 2012. </w:t>
      </w:r>
      <w:r w:rsidRPr="00BF4F42">
        <w:rPr>
          <w:rFonts w:ascii="Times New Roman" w:hAnsi="Times New Roman" w:cs="Times New Roman"/>
          <w:sz w:val="18"/>
          <w:szCs w:val="18"/>
        </w:rPr>
        <w:t>aasta määrus nr 57 „</w:t>
      </w:r>
      <w:proofErr w:type="spellStart"/>
      <w:r>
        <w:fldChar w:fldCharType="begin"/>
      </w:r>
      <w:r>
        <w:instrText>HYPERLINK "https://www.riigiteataja.ee/akt/125082017005?leiaKehtiv"</w:instrText>
      </w:r>
      <w:r>
        <w:fldChar w:fldCharType="separate"/>
      </w:r>
      <w:r w:rsidRPr="00BF4F42">
        <w:rPr>
          <w:rStyle w:val="Hyperlink"/>
          <w:rFonts w:ascii="Times New Roman" w:hAnsi="Times New Roman" w:cs="Times New Roman"/>
          <w:sz w:val="18"/>
          <w:szCs w:val="18"/>
        </w:rPr>
        <w:t>Lõhkematerjalilaole</w:t>
      </w:r>
      <w:proofErr w:type="spellEnd"/>
      <w:r w:rsidRPr="00BF4F42">
        <w:rPr>
          <w:rStyle w:val="Hyperlink"/>
          <w:rFonts w:ascii="Times New Roman" w:hAnsi="Times New Roman" w:cs="Times New Roman"/>
          <w:sz w:val="18"/>
          <w:szCs w:val="18"/>
        </w:rPr>
        <w:t xml:space="preserve">, </w:t>
      </w:r>
      <w:proofErr w:type="spellStart"/>
      <w:r w:rsidRPr="00BF4F42">
        <w:rPr>
          <w:rStyle w:val="Hyperlink"/>
          <w:rFonts w:ascii="Times New Roman" w:hAnsi="Times New Roman" w:cs="Times New Roman"/>
          <w:sz w:val="18"/>
          <w:szCs w:val="18"/>
        </w:rPr>
        <w:t>lõhkematerjali</w:t>
      </w:r>
      <w:proofErr w:type="spellEnd"/>
      <w:r w:rsidRPr="00BF4F42">
        <w:rPr>
          <w:rStyle w:val="Hyperlink"/>
          <w:rFonts w:ascii="Times New Roman" w:hAnsi="Times New Roman" w:cs="Times New Roman"/>
          <w:sz w:val="18"/>
          <w:szCs w:val="18"/>
        </w:rPr>
        <w:t xml:space="preserve"> ja pürotehnilise toote hoidmisele esitatavad nõuded</w:t>
      </w:r>
      <w:r>
        <w:rPr>
          <w:rStyle w:val="Hyperlink"/>
          <w:rFonts w:ascii="Times New Roman" w:hAnsi="Times New Roman" w:cs="Times New Roman"/>
          <w:sz w:val="18"/>
          <w:szCs w:val="18"/>
        </w:rPr>
        <w:fldChar w:fldCharType="end"/>
      </w:r>
      <w:r w:rsidRPr="00BF4F42">
        <w:rPr>
          <w:rFonts w:ascii="Times New Roman" w:hAnsi="Times New Roman" w:cs="Times New Roman"/>
          <w:sz w:val="18"/>
          <w:szCs w:val="18"/>
        </w:rPr>
        <w:t>“.</w:t>
      </w:r>
    </w:p>
  </w:footnote>
  <w:footnote w:id="6">
    <w:p w14:paraId="64D92EBB"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Keskkonnaministri 20. septembri 2019. aasta määrus nr 42 „</w:t>
      </w:r>
      <w:hyperlink r:id="rId4" w:history="1">
        <w:r w:rsidRPr="00BF4F42">
          <w:rPr>
            <w:rStyle w:val="Hyperlink"/>
            <w:rFonts w:ascii="Times New Roman" w:hAnsi="Times New Roman" w:cs="Times New Roman"/>
            <w:sz w:val="18"/>
            <w:szCs w:val="18"/>
          </w:rPr>
          <w:t>Naftasaaduse, põlevkiviõli, selle saaduse või biokütuse hoidla ehitamise ja kasutamise nõuded ning kuja täpsustatud ulatus</w:t>
        </w:r>
      </w:hyperlink>
      <w:r w:rsidRPr="00BF4F42">
        <w:rPr>
          <w:rFonts w:ascii="Times New Roman" w:hAnsi="Times New Roman" w:cs="Times New Roman"/>
          <w:sz w:val="18"/>
          <w:szCs w:val="18"/>
        </w:rPr>
        <w:t>“.</w:t>
      </w:r>
    </w:p>
  </w:footnote>
  <w:footnote w:id="7">
    <w:p w14:paraId="7AE2B8B0" w14:textId="34008545"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Euroopa Parlamendi ja nõukogu 18. detsembri 2006. aasta määrus (EÜ) nr 1907/2006, mis käsitleb kemikaalide registreerimist, hindamist, autoriseerimist ja piiramist (REACH) ja millega asutatakse Euroopa Kemikaalide Agentuur ning muudetakse direktiivi 1999/45/EÜ ja tunnistatakse kehtetuks nõukogu määrus (EMÜ) nr 793/93, komisjoni määrus (EÜ) nr 1488/94 ning samuti nõukogu direktiiv 76/769/EMÜ ja komisjoni direktiivid 91/155/EMÜ, 93/67/EMÜ, 93/105/EÜ ja 2000/21/EÜ. – </w:t>
      </w:r>
      <w:hyperlink r:id="rId5" w:history="1">
        <w:r w:rsidRPr="00BF4F42">
          <w:rPr>
            <w:rStyle w:val="Hyperlink"/>
            <w:rFonts w:ascii="Times New Roman" w:hAnsi="Times New Roman" w:cs="Times New Roman"/>
            <w:sz w:val="18"/>
            <w:szCs w:val="18"/>
          </w:rPr>
          <w:t>ELT L 396, 30.12.2006, lk 1–850</w:t>
        </w:r>
      </w:hyperlink>
      <w:r w:rsidRPr="00BF4F42">
        <w:rPr>
          <w:rFonts w:ascii="Times New Roman" w:hAnsi="Times New Roman" w:cs="Times New Roman"/>
          <w:sz w:val="18"/>
          <w:szCs w:val="18"/>
        </w:rPr>
        <w:t>.</w:t>
      </w:r>
      <w:r w:rsidR="000B039A" w:rsidRPr="00BF4F42">
        <w:rPr>
          <w:rFonts w:ascii="Times New Roman" w:hAnsi="Times New Roman" w:cs="Times New Roman"/>
          <w:sz w:val="18"/>
          <w:szCs w:val="18"/>
        </w:rPr>
        <w:t xml:space="preserve"> </w:t>
      </w:r>
    </w:p>
  </w:footnote>
  <w:footnote w:id="8">
    <w:p w14:paraId="66D42255"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Euroopa Parlamendi ja nõukogu 16. detsembri 2008. aasta määrus (EÜ) nr 1272/2008, mis käsitleb ainete ja segude klassifitseerimist, märgistamist ja pakendamist ning millega muudetakse direktiive 67/548/EMÜ ja 1999/45/EÜ ja tunnistatakse need kehtetuks ning muudetakse määrust (EÜ) nr 1907/2006. – </w:t>
      </w:r>
      <w:hyperlink r:id="rId6" w:history="1">
        <w:r w:rsidRPr="00BF4F42">
          <w:rPr>
            <w:rStyle w:val="Hyperlink"/>
            <w:rFonts w:ascii="Times New Roman" w:hAnsi="Times New Roman" w:cs="Times New Roman"/>
            <w:sz w:val="18"/>
            <w:szCs w:val="18"/>
          </w:rPr>
          <w:t>ELT L 353, 31.12.2008, lk 1–1355</w:t>
        </w:r>
      </w:hyperlink>
      <w:r w:rsidRPr="00BF4F42">
        <w:rPr>
          <w:rFonts w:ascii="Times New Roman" w:hAnsi="Times New Roman" w:cs="Times New Roman"/>
          <w:sz w:val="18"/>
          <w:szCs w:val="18"/>
        </w:rPr>
        <w:t>.</w:t>
      </w:r>
    </w:p>
  </w:footnote>
  <w:footnote w:id="9">
    <w:p w14:paraId="5C6836CE" w14:textId="39EC1B5F" w:rsidR="00D66C00" w:rsidRPr="00BF4F42" w:rsidRDefault="00D66C00">
      <w:pPr>
        <w:pStyle w:val="FootnoteText"/>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w:t>
      </w:r>
      <w:hyperlink r:id="rId7" w:history="1">
        <w:r w:rsidRPr="00BF4F42">
          <w:rPr>
            <w:rStyle w:val="Hyperlink"/>
            <w:rFonts w:ascii="Times New Roman" w:hAnsi="Times New Roman" w:cs="Times New Roman"/>
            <w:sz w:val="18"/>
            <w:szCs w:val="18"/>
          </w:rPr>
          <w:t>https://www.riigiteataja.ee/akt/12910878</w:t>
        </w:r>
      </w:hyperlink>
      <w:r w:rsidRPr="00BF4F42">
        <w:rPr>
          <w:rFonts w:ascii="Times New Roman" w:hAnsi="Times New Roman" w:cs="Times New Roman"/>
          <w:sz w:val="18"/>
          <w:szCs w:val="18"/>
        </w:rPr>
        <w:t xml:space="preserve"> .</w:t>
      </w:r>
    </w:p>
  </w:footnote>
  <w:footnote w:id="10">
    <w:p w14:paraId="73361462" w14:textId="50732BAD"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Päästeamet 2022. </w:t>
      </w:r>
      <w:r w:rsidRPr="00011B30">
        <w:rPr>
          <w:rFonts w:ascii="Times New Roman" w:hAnsi="Times New Roman" w:cs="Times New Roman"/>
          <w:sz w:val="18"/>
          <w:szCs w:val="18"/>
        </w:rPr>
        <w:t>Põlevmaterjalide lahtise laoplatsi tuleohutuse tagamine</w:t>
      </w:r>
      <w:r w:rsidR="00595E5D" w:rsidRPr="00BF4F42">
        <w:rPr>
          <w:rFonts w:ascii="Times New Roman" w:hAnsi="Times New Roman" w:cs="Times New Roman"/>
          <w:sz w:val="18"/>
          <w:szCs w:val="18"/>
        </w:rPr>
        <w:t xml:space="preserve"> (2021. aastal kinnitatud versioon</w:t>
      </w:r>
      <w:r w:rsidR="00011B30">
        <w:rPr>
          <w:rFonts w:ascii="Times New Roman" w:hAnsi="Times New Roman" w:cs="Times New Roman"/>
          <w:sz w:val="18"/>
          <w:szCs w:val="18"/>
        </w:rPr>
        <w:t xml:space="preserve"> on kättesaadav Päästeameti kodulehel</w:t>
      </w:r>
      <w:r w:rsidR="00595E5D" w:rsidRPr="00BF4F42">
        <w:rPr>
          <w:rFonts w:ascii="Times New Roman" w:hAnsi="Times New Roman" w:cs="Times New Roman"/>
          <w:sz w:val="18"/>
          <w:szCs w:val="18"/>
        </w:rPr>
        <w:t>).</w:t>
      </w:r>
    </w:p>
  </w:footnote>
  <w:footnote w:id="11">
    <w:p w14:paraId="3D749456" w14:textId="650C8229" w:rsidR="00907DD4" w:rsidRPr="00907DD4" w:rsidRDefault="00907DD4">
      <w:pPr>
        <w:pStyle w:val="FootnoteText"/>
        <w:rPr>
          <w:rFonts w:ascii="Times New Roman" w:hAnsi="Times New Roman" w:cs="Times New Roman"/>
          <w:sz w:val="18"/>
          <w:szCs w:val="18"/>
        </w:rPr>
      </w:pPr>
      <w:r w:rsidRPr="00907DD4">
        <w:rPr>
          <w:rStyle w:val="FootnoteReference"/>
          <w:rFonts w:ascii="Times New Roman" w:hAnsi="Times New Roman" w:cs="Times New Roman"/>
          <w:sz w:val="18"/>
          <w:szCs w:val="18"/>
        </w:rPr>
        <w:footnoteRef/>
      </w:r>
      <w:r w:rsidRPr="00907DD4">
        <w:rPr>
          <w:rFonts w:ascii="Times New Roman" w:hAnsi="Times New Roman" w:cs="Times New Roman"/>
          <w:sz w:val="18"/>
          <w:szCs w:val="18"/>
        </w:rPr>
        <w:t xml:space="preserve"> https://www.riigiteataja.ee/akt/210092019001</w:t>
      </w:r>
    </w:p>
  </w:footnote>
  <w:footnote w:id="12">
    <w:p w14:paraId="48C334AD" w14:textId="76A7B884" w:rsidR="008B5463" w:rsidRPr="00BF4F42" w:rsidRDefault="008B5463">
      <w:pPr>
        <w:pStyle w:val="FootnoteText"/>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Health and </w:t>
      </w:r>
      <w:proofErr w:type="spellStart"/>
      <w:r w:rsidRPr="00BF4F42">
        <w:rPr>
          <w:rFonts w:ascii="Times New Roman" w:hAnsi="Times New Roman" w:cs="Times New Roman"/>
          <w:sz w:val="18"/>
          <w:szCs w:val="18"/>
        </w:rPr>
        <w:t>Safety</w:t>
      </w:r>
      <w:proofErr w:type="spellEnd"/>
      <w:r w:rsidRPr="00BF4F42">
        <w:rPr>
          <w:rFonts w:ascii="Times New Roman" w:hAnsi="Times New Roman" w:cs="Times New Roman"/>
          <w:sz w:val="18"/>
          <w:szCs w:val="18"/>
        </w:rPr>
        <w:t xml:space="preserve"> </w:t>
      </w:r>
      <w:proofErr w:type="spellStart"/>
      <w:r w:rsidRPr="00BF4F42">
        <w:rPr>
          <w:rFonts w:ascii="Times New Roman" w:hAnsi="Times New Roman" w:cs="Times New Roman"/>
          <w:sz w:val="18"/>
          <w:szCs w:val="18"/>
        </w:rPr>
        <w:t>Executive</w:t>
      </w:r>
      <w:proofErr w:type="spellEnd"/>
      <w:r w:rsidRPr="00BF4F42">
        <w:rPr>
          <w:rFonts w:ascii="Times New Roman" w:hAnsi="Times New Roman" w:cs="Times New Roman"/>
          <w:sz w:val="18"/>
          <w:szCs w:val="18"/>
        </w:rPr>
        <w:t xml:space="preserve"> 2009. </w:t>
      </w:r>
      <w:hyperlink r:id="rId8" w:history="1">
        <w:proofErr w:type="spellStart"/>
        <w:r w:rsidRPr="00BF4F42">
          <w:rPr>
            <w:rStyle w:val="Hyperlink"/>
            <w:rFonts w:ascii="Times New Roman" w:hAnsi="Times New Roman" w:cs="Times New Roman"/>
            <w:sz w:val="18"/>
            <w:szCs w:val="18"/>
          </w:rPr>
          <w:t>Chemical</w:t>
        </w:r>
        <w:proofErr w:type="spellEnd"/>
        <w:r w:rsidRPr="00BF4F42">
          <w:rPr>
            <w:rStyle w:val="Hyperlink"/>
            <w:rFonts w:ascii="Times New Roman" w:hAnsi="Times New Roman" w:cs="Times New Roman"/>
            <w:sz w:val="18"/>
            <w:szCs w:val="18"/>
          </w:rPr>
          <w:t xml:space="preserve"> </w:t>
        </w:r>
        <w:proofErr w:type="spellStart"/>
        <w:r w:rsidRPr="00BF4F42">
          <w:rPr>
            <w:rStyle w:val="Hyperlink"/>
            <w:rFonts w:ascii="Times New Roman" w:hAnsi="Times New Roman" w:cs="Times New Roman"/>
            <w:sz w:val="18"/>
            <w:szCs w:val="18"/>
          </w:rPr>
          <w:t>warehousing</w:t>
        </w:r>
        <w:proofErr w:type="spellEnd"/>
        <w:r w:rsidRPr="00BF4F42">
          <w:rPr>
            <w:rStyle w:val="Hyperlink"/>
            <w:rFonts w:ascii="Times New Roman" w:hAnsi="Times New Roman" w:cs="Times New Roman"/>
            <w:sz w:val="18"/>
            <w:szCs w:val="18"/>
          </w:rPr>
          <w:t xml:space="preserve">: The </w:t>
        </w:r>
        <w:proofErr w:type="spellStart"/>
        <w:r w:rsidRPr="00BF4F42">
          <w:rPr>
            <w:rStyle w:val="Hyperlink"/>
            <w:rFonts w:ascii="Times New Roman" w:hAnsi="Times New Roman" w:cs="Times New Roman"/>
            <w:sz w:val="18"/>
            <w:szCs w:val="18"/>
          </w:rPr>
          <w:t>storage</w:t>
        </w:r>
        <w:proofErr w:type="spellEnd"/>
        <w:r w:rsidRPr="00BF4F42">
          <w:rPr>
            <w:rStyle w:val="Hyperlink"/>
            <w:rFonts w:ascii="Times New Roman" w:hAnsi="Times New Roman" w:cs="Times New Roman"/>
            <w:sz w:val="18"/>
            <w:szCs w:val="18"/>
          </w:rPr>
          <w:t xml:space="preserve"> of </w:t>
        </w:r>
        <w:proofErr w:type="spellStart"/>
        <w:r w:rsidRPr="00BF4F42">
          <w:rPr>
            <w:rStyle w:val="Hyperlink"/>
            <w:rFonts w:ascii="Times New Roman" w:hAnsi="Times New Roman" w:cs="Times New Roman"/>
            <w:sz w:val="18"/>
            <w:szCs w:val="18"/>
          </w:rPr>
          <w:t>packaged</w:t>
        </w:r>
        <w:proofErr w:type="spellEnd"/>
        <w:r w:rsidRPr="00BF4F42">
          <w:rPr>
            <w:rStyle w:val="Hyperlink"/>
            <w:rFonts w:ascii="Times New Roman" w:hAnsi="Times New Roman" w:cs="Times New Roman"/>
            <w:sz w:val="18"/>
            <w:szCs w:val="18"/>
          </w:rPr>
          <w:t xml:space="preserve"> </w:t>
        </w:r>
        <w:proofErr w:type="spellStart"/>
        <w:r w:rsidRPr="00BF4F42">
          <w:rPr>
            <w:rStyle w:val="Hyperlink"/>
            <w:rFonts w:ascii="Times New Roman" w:hAnsi="Times New Roman" w:cs="Times New Roman"/>
            <w:sz w:val="18"/>
            <w:szCs w:val="18"/>
          </w:rPr>
          <w:t>dangerous</w:t>
        </w:r>
        <w:proofErr w:type="spellEnd"/>
        <w:r w:rsidRPr="00BF4F42">
          <w:rPr>
            <w:rStyle w:val="Hyperlink"/>
            <w:rFonts w:ascii="Times New Roman" w:hAnsi="Times New Roman" w:cs="Times New Roman"/>
            <w:sz w:val="18"/>
            <w:szCs w:val="18"/>
          </w:rPr>
          <w:t xml:space="preserve"> </w:t>
        </w:r>
        <w:proofErr w:type="spellStart"/>
        <w:r w:rsidRPr="00BF4F42">
          <w:rPr>
            <w:rStyle w:val="Hyperlink"/>
            <w:rFonts w:ascii="Times New Roman" w:hAnsi="Times New Roman" w:cs="Times New Roman"/>
            <w:sz w:val="18"/>
            <w:szCs w:val="18"/>
          </w:rPr>
          <w:t>substances</w:t>
        </w:r>
        <w:proofErr w:type="spellEnd"/>
      </w:hyperlink>
      <w:r w:rsidRPr="00BF4F42">
        <w:rPr>
          <w:rFonts w:ascii="Times New Roman" w:hAnsi="Times New Roman" w:cs="Times New Roman"/>
          <w:sz w:val="18"/>
          <w:szCs w:val="18"/>
        </w:rPr>
        <w:t>.</w:t>
      </w:r>
    </w:p>
  </w:footnote>
  <w:footnote w:id="13">
    <w:p w14:paraId="6B018BC8" w14:textId="30261FF6" w:rsidR="00992140" w:rsidRPr="00BF4F42" w:rsidRDefault="00992140">
      <w:pPr>
        <w:pStyle w:val="FootnoteText"/>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w:t>
      </w:r>
      <w:r w:rsidR="00BF4F42" w:rsidRPr="00BF4F42">
        <w:rPr>
          <w:rFonts w:ascii="Times New Roman" w:hAnsi="Times New Roman" w:cs="Times New Roman"/>
          <w:sz w:val="18"/>
          <w:szCs w:val="18"/>
        </w:rPr>
        <w:t xml:space="preserve">Määruse pealkiri </w:t>
      </w:r>
      <w:r w:rsidR="00BF4F42">
        <w:rPr>
          <w:rFonts w:ascii="Times New Roman" w:hAnsi="Times New Roman" w:cs="Times New Roman"/>
          <w:sz w:val="18"/>
          <w:szCs w:val="18"/>
        </w:rPr>
        <w:t>on muudetud</w:t>
      </w:r>
      <w:r w:rsidR="00BF4F42" w:rsidRPr="00BF4F42">
        <w:rPr>
          <w:rFonts w:ascii="Times New Roman" w:hAnsi="Times New Roman" w:cs="Times New Roman"/>
          <w:sz w:val="18"/>
          <w:szCs w:val="18"/>
        </w:rPr>
        <w:t xml:space="preserve"> seoses eelnevalt viidatud veeseaduse muutmise seaduse eelnõus 346 SE kavandatud muudatustega.</w:t>
      </w:r>
    </w:p>
  </w:footnote>
  <w:footnote w:id="14">
    <w:p w14:paraId="28A465F2" w14:textId="7D2F9F8F" w:rsidR="00E673F6" w:rsidRPr="00011B30" w:rsidRDefault="00E673F6">
      <w:pPr>
        <w:pStyle w:val="FootnoteText"/>
        <w:rPr>
          <w:rFonts w:ascii="Times New Roman" w:hAnsi="Times New Roman" w:cs="Times New Roman"/>
          <w:sz w:val="18"/>
          <w:szCs w:val="18"/>
        </w:rPr>
      </w:pPr>
      <w:r w:rsidRPr="00011B30">
        <w:rPr>
          <w:rStyle w:val="FootnoteReference"/>
          <w:rFonts w:ascii="Times New Roman" w:hAnsi="Times New Roman" w:cs="Times New Roman"/>
          <w:sz w:val="18"/>
          <w:szCs w:val="18"/>
        </w:rPr>
        <w:footnoteRef/>
      </w:r>
      <w:r w:rsidRPr="00011B30">
        <w:rPr>
          <w:rFonts w:ascii="Times New Roman" w:hAnsi="Times New Roman" w:cs="Times New Roman"/>
          <w:sz w:val="18"/>
          <w:szCs w:val="18"/>
        </w:rPr>
        <w:t xml:space="preserve"> </w:t>
      </w:r>
      <w:proofErr w:type="spellStart"/>
      <w:r w:rsidR="00A03442" w:rsidRPr="00011B30">
        <w:rPr>
          <w:rFonts w:ascii="Times New Roman" w:hAnsi="Times New Roman" w:cs="Times New Roman"/>
          <w:sz w:val="18"/>
          <w:szCs w:val="18"/>
        </w:rPr>
        <w:t>Finnish</w:t>
      </w:r>
      <w:proofErr w:type="spellEnd"/>
      <w:r w:rsidR="00A03442" w:rsidRPr="00011B30">
        <w:rPr>
          <w:rFonts w:ascii="Times New Roman" w:hAnsi="Times New Roman" w:cs="Times New Roman"/>
          <w:sz w:val="18"/>
          <w:szCs w:val="18"/>
        </w:rPr>
        <w:t xml:space="preserve"> </w:t>
      </w:r>
      <w:proofErr w:type="spellStart"/>
      <w:r w:rsidR="00A03442" w:rsidRPr="00011B30">
        <w:rPr>
          <w:rFonts w:ascii="Times New Roman" w:hAnsi="Times New Roman" w:cs="Times New Roman"/>
          <w:sz w:val="18"/>
          <w:szCs w:val="18"/>
        </w:rPr>
        <w:t>Safety</w:t>
      </w:r>
      <w:proofErr w:type="spellEnd"/>
      <w:r w:rsidR="00A03442" w:rsidRPr="00011B30">
        <w:rPr>
          <w:rFonts w:ascii="Times New Roman" w:hAnsi="Times New Roman" w:cs="Times New Roman"/>
          <w:sz w:val="18"/>
          <w:szCs w:val="18"/>
        </w:rPr>
        <w:t xml:space="preserve"> and </w:t>
      </w:r>
      <w:proofErr w:type="spellStart"/>
      <w:r w:rsidR="00A03442" w:rsidRPr="00011B30">
        <w:rPr>
          <w:rFonts w:ascii="Times New Roman" w:hAnsi="Times New Roman" w:cs="Times New Roman"/>
          <w:sz w:val="18"/>
          <w:szCs w:val="18"/>
        </w:rPr>
        <w:t>Chemicals</w:t>
      </w:r>
      <w:proofErr w:type="spellEnd"/>
      <w:r w:rsidR="00A03442" w:rsidRPr="00011B30">
        <w:rPr>
          <w:rFonts w:ascii="Times New Roman" w:hAnsi="Times New Roman" w:cs="Times New Roman"/>
          <w:sz w:val="18"/>
          <w:szCs w:val="18"/>
        </w:rPr>
        <w:t xml:space="preserve"> Agency (Tukes). </w:t>
      </w:r>
      <w:hyperlink r:id="rId9" w:history="1">
        <w:proofErr w:type="spellStart"/>
        <w:r w:rsidR="00A03442" w:rsidRPr="00011B30">
          <w:rPr>
            <w:rStyle w:val="Hyperlink"/>
            <w:rFonts w:ascii="Times New Roman" w:hAnsi="Times New Roman" w:cs="Times New Roman"/>
            <w:sz w:val="18"/>
            <w:szCs w:val="18"/>
          </w:rPr>
          <w:t>Tuotantolaitosten</w:t>
        </w:r>
        <w:proofErr w:type="spellEnd"/>
        <w:r w:rsidR="00A03442" w:rsidRPr="00011B30">
          <w:rPr>
            <w:rStyle w:val="Hyperlink"/>
            <w:rFonts w:ascii="Times New Roman" w:hAnsi="Times New Roman" w:cs="Times New Roman"/>
            <w:sz w:val="18"/>
            <w:szCs w:val="18"/>
          </w:rPr>
          <w:t xml:space="preserve"> </w:t>
        </w:r>
        <w:proofErr w:type="spellStart"/>
        <w:r w:rsidR="00A03442" w:rsidRPr="00011B30">
          <w:rPr>
            <w:rStyle w:val="Hyperlink"/>
            <w:rFonts w:ascii="Times New Roman" w:hAnsi="Times New Roman" w:cs="Times New Roman"/>
            <w:sz w:val="18"/>
            <w:szCs w:val="18"/>
          </w:rPr>
          <w:t>sijoittaminen</w:t>
        </w:r>
        <w:proofErr w:type="spellEnd"/>
        <w:r w:rsidR="00A03442" w:rsidRPr="00011B30">
          <w:rPr>
            <w:rStyle w:val="Hyperlink"/>
            <w:rFonts w:ascii="Times New Roman" w:hAnsi="Times New Roman" w:cs="Times New Roman"/>
            <w:color w:val="auto"/>
            <w:sz w:val="18"/>
            <w:szCs w:val="18"/>
            <w:u w:val="none"/>
          </w:rPr>
          <w:t>, lk 3</w:t>
        </w:r>
      </w:hyperlink>
      <w:r w:rsidR="00A03442" w:rsidRPr="00011B30">
        <w:rPr>
          <w:rStyle w:val="Hyperlink"/>
          <w:rFonts w:ascii="Times New Roman" w:hAnsi="Times New Roman" w:cs="Times New Roman"/>
          <w:color w:val="auto"/>
          <w:sz w:val="18"/>
          <w:szCs w:val="18"/>
          <w:u w:val="none"/>
        </w:rPr>
        <w:t>3.</w:t>
      </w:r>
    </w:p>
  </w:footnote>
  <w:footnote w:id="15">
    <w:p w14:paraId="2C7A711B" w14:textId="293EC2DB" w:rsidR="00E673F6" w:rsidRPr="00011B30" w:rsidRDefault="00E673F6" w:rsidP="00E673F6">
      <w:pPr>
        <w:pStyle w:val="FootnoteText"/>
        <w:rPr>
          <w:rFonts w:ascii="Times New Roman" w:hAnsi="Times New Roman" w:cs="Times New Roman"/>
          <w:sz w:val="18"/>
          <w:szCs w:val="18"/>
        </w:rPr>
      </w:pPr>
      <w:r w:rsidRPr="00011B30">
        <w:rPr>
          <w:rStyle w:val="FootnoteReference"/>
          <w:rFonts w:ascii="Times New Roman" w:hAnsi="Times New Roman" w:cs="Times New Roman"/>
          <w:sz w:val="18"/>
          <w:szCs w:val="18"/>
        </w:rPr>
        <w:footnoteRef/>
      </w:r>
      <w:r w:rsidRPr="00011B30">
        <w:rPr>
          <w:rFonts w:ascii="Times New Roman" w:hAnsi="Times New Roman" w:cs="Times New Roman"/>
          <w:sz w:val="18"/>
          <w:szCs w:val="18"/>
        </w:rPr>
        <w:t xml:space="preserve"> </w:t>
      </w:r>
      <w:r w:rsidR="00A03442" w:rsidRPr="00011B30">
        <w:rPr>
          <w:rFonts w:ascii="Times New Roman" w:hAnsi="Times New Roman" w:cs="Times New Roman"/>
          <w:sz w:val="18"/>
          <w:szCs w:val="18"/>
        </w:rPr>
        <w:t>Sama</w:t>
      </w:r>
      <w:r w:rsidRPr="00011B30">
        <w:rPr>
          <w:rFonts w:ascii="Times New Roman" w:hAnsi="Times New Roman" w:cs="Times New Roman"/>
          <w:sz w:val="18"/>
          <w:szCs w:val="18"/>
        </w:rPr>
        <w:t>, lk 32.</w:t>
      </w:r>
    </w:p>
  </w:footnote>
  <w:footnote w:id="16">
    <w:p w14:paraId="07F2B53D" w14:textId="3D372DCF" w:rsidR="00F451D4" w:rsidRPr="00BF4F42" w:rsidRDefault="00F451D4" w:rsidP="00F451D4">
      <w:pPr>
        <w:pStyle w:val="FootnoteText"/>
        <w:jc w:val="both"/>
        <w:rPr>
          <w:rFonts w:ascii="Times New Roman" w:hAnsi="Times New Roman" w:cs="Times New Roman"/>
          <w:sz w:val="18"/>
          <w:szCs w:val="18"/>
        </w:rPr>
      </w:pPr>
      <w:r w:rsidRPr="00011B30">
        <w:rPr>
          <w:rStyle w:val="FootnoteReference"/>
          <w:rFonts w:ascii="Times New Roman" w:hAnsi="Times New Roman" w:cs="Times New Roman"/>
          <w:sz w:val="18"/>
          <w:szCs w:val="18"/>
        </w:rPr>
        <w:footnoteRef/>
      </w:r>
      <w:r w:rsidRPr="00011B30">
        <w:rPr>
          <w:rFonts w:ascii="Times New Roman" w:hAnsi="Times New Roman" w:cs="Times New Roman"/>
          <w:sz w:val="18"/>
          <w:szCs w:val="18"/>
        </w:rPr>
        <w:t xml:space="preserve"> </w:t>
      </w:r>
      <w:r w:rsidR="00011B30" w:rsidRPr="00011B30">
        <w:rPr>
          <w:rFonts w:ascii="Times New Roman" w:hAnsi="Times New Roman" w:cs="Times New Roman"/>
          <w:sz w:val="18"/>
          <w:szCs w:val="18"/>
        </w:rPr>
        <w:t>Sama, lk 32.</w:t>
      </w:r>
    </w:p>
  </w:footnote>
  <w:footnote w:id="17">
    <w:p w14:paraId="5A1B4972" w14:textId="77777777" w:rsidR="000D0219" w:rsidRPr="00BF4F42" w:rsidRDefault="000D0219" w:rsidP="000D0219">
      <w:pPr>
        <w:pStyle w:val="FootnoteText"/>
        <w:jc w:val="both"/>
        <w:rPr>
          <w:rFonts w:ascii="Times New Roman" w:hAnsi="Times New Roman" w:cs="Times New Roman"/>
          <w:sz w:val="18"/>
          <w:szCs w:val="18"/>
        </w:rPr>
      </w:pPr>
      <w:r w:rsidRPr="00BF4F42">
        <w:rPr>
          <w:rStyle w:val="FootnoteReference"/>
          <w:rFonts w:ascii="Times New Roman" w:hAnsi="Times New Roman" w:cs="Times New Roman"/>
          <w:sz w:val="18"/>
          <w:szCs w:val="18"/>
        </w:rPr>
        <w:footnoteRef/>
      </w:r>
      <w:r w:rsidRPr="00BF4F42">
        <w:rPr>
          <w:rFonts w:ascii="Times New Roman" w:hAnsi="Times New Roman" w:cs="Times New Roman"/>
          <w:sz w:val="18"/>
          <w:szCs w:val="18"/>
        </w:rPr>
        <w:t xml:space="preserve"> </w:t>
      </w:r>
      <w:hyperlink r:id="rId10" w:history="1">
        <w:r w:rsidRPr="00BF4F42">
          <w:rPr>
            <w:rStyle w:val="Hyperlink"/>
            <w:rFonts w:ascii="Times New Roman" w:hAnsi="Times New Roman" w:cs="Times New Roman"/>
            <w:sz w:val="18"/>
            <w:szCs w:val="18"/>
          </w:rPr>
          <w:t>ELT L 197, 24.07.2012, lk 1–37</w:t>
        </w:r>
      </w:hyperlink>
      <w:r w:rsidRPr="00BF4F42">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657"/>
    <w:multiLevelType w:val="hybridMultilevel"/>
    <w:tmpl w:val="80E09B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1017F1"/>
    <w:multiLevelType w:val="hybridMultilevel"/>
    <w:tmpl w:val="D8828F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1557D9"/>
    <w:multiLevelType w:val="hybridMultilevel"/>
    <w:tmpl w:val="C6E8314C"/>
    <w:lvl w:ilvl="0" w:tplc="04250001">
      <w:start w:val="1"/>
      <w:numFmt w:val="bullet"/>
      <w:lvlText w:val=""/>
      <w:lvlJc w:val="left"/>
      <w:pPr>
        <w:ind w:left="783" w:hanging="360"/>
      </w:pPr>
      <w:rPr>
        <w:rFonts w:ascii="Symbol" w:hAnsi="Symbol" w:hint="default"/>
      </w:rPr>
    </w:lvl>
    <w:lvl w:ilvl="1" w:tplc="04250003" w:tentative="1">
      <w:start w:val="1"/>
      <w:numFmt w:val="bullet"/>
      <w:lvlText w:val="o"/>
      <w:lvlJc w:val="left"/>
      <w:pPr>
        <w:ind w:left="1503" w:hanging="360"/>
      </w:pPr>
      <w:rPr>
        <w:rFonts w:ascii="Courier New" w:hAnsi="Courier New" w:cs="Courier New" w:hint="default"/>
      </w:rPr>
    </w:lvl>
    <w:lvl w:ilvl="2" w:tplc="04250005" w:tentative="1">
      <w:start w:val="1"/>
      <w:numFmt w:val="bullet"/>
      <w:lvlText w:val=""/>
      <w:lvlJc w:val="left"/>
      <w:pPr>
        <w:ind w:left="2223" w:hanging="360"/>
      </w:pPr>
      <w:rPr>
        <w:rFonts w:ascii="Wingdings" w:hAnsi="Wingdings" w:hint="default"/>
      </w:rPr>
    </w:lvl>
    <w:lvl w:ilvl="3" w:tplc="04250001" w:tentative="1">
      <w:start w:val="1"/>
      <w:numFmt w:val="bullet"/>
      <w:lvlText w:val=""/>
      <w:lvlJc w:val="left"/>
      <w:pPr>
        <w:ind w:left="2943" w:hanging="360"/>
      </w:pPr>
      <w:rPr>
        <w:rFonts w:ascii="Symbol" w:hAnsi="Symbol" w:hint="default"/>
      </w:rPr>
    </w:lvl>
    <w:lvl w:ilvl="4" w:tplc="04250003" w:tentative="1">
      <w:start w:val="1"/>
      <w:numFmt w:val="bullet"/>
      <w:lvlText w:val="o"/>
      <w:lvlJc w:val="left"/>
      <w:pPr>
        <w:ind w:left="3663" w:hanging="360"/>
      </w:pPr>
      <w:rPr>
        <w:rFonts w:ascii="Courier New" w:hAnsi="Courier New" w:cs="Courier New" w:hint="default"/>
      </w:rPr>
    </w:lvl>
    <w:lvl w:ilvl="5" w:tplc="04250005" w:tentative="1">
      <w:start w:val="1"/>
      <w:numFmt w:val="bullet"/>
      <w:lvlText w:val=""/>
      <w:lvlJc w:val="left"/>
      <w:pPr>
        <w:ind w:left="4383" w:hanging="360"/>
      </w:pPr>
      <w:rPr>
        <w:rFonts w:ascii="Wingdings" w:hAnsi="Wingdings" w:hint="default"/>
      </w:rPr>
    </w:lvl>
    <w:lvl w:ilvl="6" w:tplc="04250001" w:tentative="1">
      <w:start w:val="1"/>
      <w:numFmt w:val="bullet"/>
      <w:lvlText w:val=""/>
      <w:lvlJc w:val="left"/>
      <w:pPr>
        <w:ind w:left="5103" w:hanging="360"/>
      </w:pPr>
      <w:rPr>
        <w:rFonts w:ascii="Symbol" w:hAnsi="Symbol" w:hint="default"/>
      </w:rPr>
    </w:lvl>
    <w:lvl w:ilvl="7" w:tplc="04250003" w:tentative="1">
      <w:start w:val="1"/>
      <w:numFmt w:val="bullet"/>
      <w:lvlText w:val="o"/>
      <w:lvlJc w:val="left"/>
      <w:pPr>
        <w:ind w:left="5823" w:hanging="360"/>
      </w:pPr>
      <w:rPr>
        <w:rFonts w:ascii="Courier New" w:hAnsi="Courier New" w:cs="Courier New" w:hint="default"/>
      </w:rPr>
    </w:lvl>
    <w:lvl w:ilvl="8" w:tplc="04250005" w:tentative="1">
      <w:start w:val="1"/>
      <w:numFmt w:val="bullet"/>
      <w:lvlText w:val=""/>
      <w:lvlJc w:val="left"/>
      <w:pPr>
        <w:ind w:left="6543" w:hanging="360"/>
      </w:pPr>
      <w:rPr>
        <w:rFonts w:ascii="Wingdings" w:hAnsi="Wingdings" w:hint="default"/>
      </w:rPr>
    </w:lvl>
  </w:abstractNum>
  <w:abstractNum w:abstractNumId="3" w15:restartNumberingAfterBreak="0">
    <w:nsid w:val="0B4F159E"/>
    <w:multiLevelType w:val="hybridMultilevel"/>
    <w:tmpl w:val="E52C7D2A"/>
    <w:lvl w:ilvl="0" w:tplc="CAC8FC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BD011F"/>
    <w:multiLevelType w:val="hybridMultilevel"/>
    <w:tmpl w:val="2D708AA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30F6424"/>
    <w:multiLevelType w:val="hybridMultilevel"/>
    <w:tmpl w:val="2092FC8C"/>
    <w:lvl w:ilvl="0" w:tplc="7DE88A76">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315E2A"/>
    <w:multiLevelType w:val="multilevel"/>
    <w:tmpl w:val="637AB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DF55AB"/>
    <w:multiLevelType w:val="hybridMultilevel"/>
    <w:tmpl w:val="3E2ECE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075E90"/>
    <w:multiLevelType w:val="hybridMultilevel"/>
    <w:tmpl w:val="E4EE2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762B56"/>
    <w:multiLevelType w:val="hybridMultilevel"/>
    <w:tmpl w:val="04988132"/>
    <w:lvl w:ilvl="0" w:tplc="04250001">
      <w:start w:val="1"/>
      <w:numFmt w:val="bullet"/>
      <w:lvlText w:val=""/>
      <w:lvlJc w:val="left"/>
      <w:pPr>
        <w:ind w:left="360" w:hanging="360"/>
      </w:pPr>
      <w:rPr>
        <w:rFonts w:ascii="Symbol" w:hAnsi="Symbol" w:hint="default"/>
      </w:rPr>
    </w:lvl>
    <w:lvl w:ilvl="1" w:tplc="7DE88A76">
      <w:start w:val="1"/>
      <w:numFmt w:val="bullet"/>
      <w:lvlText w:val="­"/>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2A246482"/>
    <w:multiLevelType w:val="hybridMultilevel"/>
    <w:tmpl w:val="F27E814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F7B47BB"/>
    <w:multiLevelType w:val="hybridMultilevel"/>
    <w:tmpl w:val="BEF654F6"/>
    <w:lvl w:ilvl="0" w:tplc="CF325CA0">
      <w:start w:val="1"/>
      <w:numFmt w:val="upperLetter"/>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0100EE5"/>
    <w:multiLevelType w:val="hybridMultilevel"/>
    <w:tmpl w:val="38EC10C0"/>
    <w:lvl w:ilvl="0" w:tplc="9FC28214">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327B61E2"/>
    <w:multiLevelType w:val="hybridMultilevel"/>
    <w:tmpl w:val="D4BA68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2766F0E"/>
    <w:multiLevelType w:val="hybridMultilevel"/>
    <w:tmpl w:val="CFCC447C"/>
    <w:lvl w:ilvl="0" w:tplc="9FC28214">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7FD66AF"/>
    <w:multiLevelType w:val="hybridMultilevel"/>
    <w:tmpl w:val="0220D59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56B47779"/>
    <w:multiLevelType w:val="hybridMultilevel"/>
    <w:tmpl w:val="65DABA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7F239C"/>
    <w:multiLevelType w:val="hybridMultilevel"/>
    <w:tmpl w:val="7534B61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4D3392D"/>
    <w:multiLevelType w:val="hybridMultilevel"/>
    <w:tmpl w:val="2F04FFEA"/>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673474A5"/>
    <w:multiLevelType w:val="hybridMultilevel"/>
    <w:tmpl w:val="53AE92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AFD295C"/>
    <w:multiLevelType w:val="hybridMultilevel"/>
    <w:tmpl w:val="F632735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30B4B0B"/>
    <w:multiLevelType w:val="hybridMultilevel"/>
    <w:tmpl w:val="6332CED0"/>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7636AF8"/>
    <w:multiLevelType w:val="hybridMultilevel"/>
    <w:tmpl w:val="F028CFBE"/>
    <w:lvl w:ilvl="0" w:tplc="9FC28214">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3" w15:restartNumberingAfterBreak="0">
    <w:nsid w:val="7DC959D4"/>
    <w:multiLevelType w:val="hybridMultilevel"/>
    <w:tmpl w:val="96F6F65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7EC6458D"/>
    <w:multiLevelType w:val="hybridMultilevel"/>
    <w:tmpl w:val="C9B4795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1415199852">
    <w:abstractNumId w:val="6"/>
  </w:num>
  <w:num w:numId="2" w16cid:durableId="2006086466">
    <w:abstractNumId w:val="3"/>
  </w:num>
  <w:num w:numId="3" w16cid:durableId="2125691878">
    <w:abstractNumId w:val="0"/>
  </w:num>
  <w:num w:numId="4" w16cid:durableId="503478176">
    <w:abstractNumId w:val="7"/>
  </w:num>
  <w:num w:numId="5" w16cid:durableId="1025835107">
    <w:abstractNumId w:val="18"/>
  </w:num>
  <w:num w:numId="6" w16cid:durableId="1147016637">
    <w:abstractNumId w:val="13"/>
  </w:num>
  <w:num w:numId="7" w16cid:durableId="2033412793">
    <w:abstractNumId w:val="15"/>
  </w:num>
  <w:num w:numId="8" w16cid:durableId="868185203">
    <w:abstractNumId w:val="4"/>
  </w:num>
  <w:num w:numId="9" w16cid:durableId="1952392432">
    <w:abstractNumId w:val="8"/>
  </w:num>
  <w:num w:numId="10" w16cid:durableId="39742611">
    <w:abstractNumId w:val="1"/>
  </w:num>
  <w:num w:numId="11" w16cid:durableId="257449526">
    <w:abstractNumId w:val="19"/>
  </w:num>
  <w:num w:numId="12" w16cid:durableId="604196600">
    <w:abstractNumId w:val="2"/>
  </w:num>
  <w:num w:numId="13" w16cid:durableId="1851404979">
    <w:abstractNumId w:val="16"/>
  </w:num>
  <w:num w:numId="14" w16cid:durableId="220482902">
    <w:abstractNumId w:val="10"/>
  </w:num>
  <w:num w:numId="15" w16cid:durableId="1007755275">
    <w:abstractNumId w:val="20"/>
  </w:num>
  <w:num w:numId="16" w16cid:durableId="543249563">
    <w:abstractNumId w:val="11"/>
  </w:num>
  <w:num w:numId="17" w16cid:durableId="491411154">
    <w:abstractNumId w:val="21"/>
  </w:num>
  <w:num w:numId="18" w16cid:durableId="568655989">
    <w:abstractNumId w:val="17"/>
  </w:num>
  <w:num w:numId="19" w16cid:durableId="936213684">
    <w:abstractNumId w:val="24"/>
  </w:num>
  <w:num w:numId="20" w16cid:durableId="1309941838">
    <w:abstractNumId w:val="14"/>
  </w:num>
  <w:num w:numId="21" w16cid:durableId="252711247">
    <w:abstractNumId w:val="9"/>
  </w:num>
  <w:num w:numId="22" w16cid:durableId="1209993733">
    <w:abstractNumId w:val="5"/>
  </w:num>
  <w:num w:numId="23" w16cid:durableId="1027490372">
    <w:abstractNumId w:val="23"/>
  </w:num>
  <w:num w:numId="24" w16cid:durableId="168253635">
    <w:abstractNumId w:val="12"/>
  </w:num>
  <w:num w:numId="25" w16cid:durableId="184570726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ike Ring">
    <w15:presenceInfo w15:providerId="AD" w15:userId="S::merike.ring@mkm.ee::21fee43e-0edb-42a9-a878-8cd96fd94fd5"/>
  </w15:person>
  <w15:person w15:author="Helen Ojamaa-Muru">
    <w15:presenceInfo w15:providerId="None" w15:userId="Helen Ojamaa-Mu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9D"/>
    <w:rsid w:val="00001319"/>
    <w:rsid w:val="00001A91"/>
    <w:rsid w:val="00002385"/>
    <w:rsid w:val="00004DB0"/>
    <w:rsid w:val="000057CB"/>
    <w:rsid w:val="00005ED8"/>
    <w:rsid w:val="000073F7"/>
    <w:rsid w:val="00010EAC"/>
    <w:rsid w:val="00011B30"/>
    <w:rsid w:val="00013C56"/>
    <w:rsid w:val="00014D24"/>
    <w:rsid w:val="00016BE2"/>
    <w:rsid w:val="00016F35"/>
    <w:rsid w:val="0002113D"/>
    <w:rsid w:val="000226C2"/>
    <w:rsid w:val="00024959"/>
    <w:rsid w:val="00024B6C"/>
    <w:rsid w:val="0002729C"/>
    <w:rsid w:val="00031A04"/>
    <w:rsid w:val="00032B21"/>
    <w:rsid w:val="00034E0C"/>
    <w:rsid w:val="0003506B"/>
    <w:rsid w:val="000354E9"/>
    <w:rsid w:val="00035583"/>
    <w:rsid w:val="0003597C"/>
    <w:rsid w:val="0003766F"/>
    <w:rsid w:val="00037B27"/>
    <w:rsid w:val="000400C0"/>
    <w:rsid w:val="000420B4"/>
    <w:rsid w:val="00042D90"/>
    <w:rsid w:val="0004310C"/>
    <w:rsid w:val="0004376B"/>
    <w:rsid w:val="000440BB"/>
    <w:rsid w:val="00044436"/>
    <w:rsid w:val="00044CFA"/>
    <w:rsid w:val="0004514F"/>
    <w:rsid w:val="00046AAB"/>
    <w:rsid w:val="00047CF1"/>
    <w:rsid w:val="00047F1F"/>
    <w:rsid w:val="000505E5"/>
    <w:rsid w:val="00051BF5"/>
    <w:rsid w:val="0005301C"/>
    <w:rsid w:val="00053099"/>
    <w:rsid w:val="000540ED"/>
    <w:rsid w:val="00054EDF"/>
    <w:rsid w:val="00055B63"/>
    <w:rsid w:val="000571E2"/>
    <w:rsid w:val="00057306"/>
    <w:rsid w:val="0005741E"/>
    <w:rsid w:val="0006024B"/>
    <w:rsid w:val="00061235"/>
    <w:rsid w:val="000613B8"/>
    <w:rsid w:val="00061428"/>
    <w:rsid w:val="00061A1F"/>
    <w:rsid w:val="00062546"/>
    <w:rsid w:val="00062AA2"/>
    <w:rsid w:val="00064D7A"/>
    <w:rsid w:val="00065C59"/>
    <w:rsid w:val="00065DED"/>
    <w:rsid w:val="00067C23"/>
    <w:rsid w:val="0007004C"/>
    <w:rsid w:val="0007311A"/>
    <w:rsid w:val="000737F9"/>
    <w:rsid w:val="00076176"/>
    <w:rsid w:val="00076EB9"/>
    <w:rsid w:val="00080297"/>
    <w:rsid w:val="00082693"/>
    <w:rsid w:val="00084266"/>
    <w:rsid w:val="000849F0"/>
    <w:rsid w:val="00084BD8"/>
    <w:rsid w:val="00084F57"/>
    <w:rsid w:val="00084FA6"/>
    <w:rsid w:val="00086296"/>
    <w:rsid w:val="00086583"/>
    <w:rsid w:val="00086965"/>
    <w:rsid w:val="000900C6"/>
    <w:rsid w:val="000902B4"/>
    <w:rsid w:val="00091363"/>
    <w:rsid w:val="00091722"/>
    <w:rsid w:val="00091DA1"/>
    <w:rsid w:val="00091EFB"/>
    <w:rsid w:val="00092A34"/>
    <w:rsid w:val="0009367A"/>
    <w:rsid w:val="0009369A"/>
    <w:rsid w:val="0009423C"/>
    <w:rsid w:val="00094602"/>
    <w:rsid w:val="000949FC"/>
    <w:rsid w:val="0009547C"/>
    <w:rsid w:val="00095937"/>
    <w:rsid w:val="00096031"/>
    <w:rsid w:val="000966AE"/>
    <w:rsid w:val="000A03B4"/>
    <w:rsid w:val="000A0C99"/>
    <w:rsid w:val="000A1548"/>
    <w:rsid w:val="000A15EB"/>
    <w:rsid w:val="000A1B32"/>
    <w:rsid w:val="000A1F2C"/>
    <w:rsid w:val="000A286A"/>
    <w:rsid w:val="000A301C"/>
    <w:rsid w:val="000A4845"/>
    <w:rsid w:val="000A4E51"/>
    <w:rsid w:val="000A4E9E"/>
    <w:rsid w:val="000A71F5"/>
    <w:rsid w:val="000A7FB3"/>
    <w:rsid w:val="000B039A"/>
    <w:rsid w:val="000B0901"/>
    <w:rsid w:val="000B34D2"/>
    <w:rsid w:val="000B42D7"/>
    <w:rsid w:val="000B4740"/>
    <w:rsid w:val="000B5E8F"/>
    <w:rsid w:val="000B5FC9"/>
    <w:rsid w:val="000B62AC"/>
    <w:rsid w:val="000C02A4"/>
    <w:rsid w:val="000C1036"/>
    <w:rsid w:val="000C1AD0"/>
    <w:rsid w:val="000C24E8"/>
    <w:rsid w:val="000C4383"/>
    <w:rsid w:val="000C4C54"/>
    <w:rsid w:val="000D0219"/>
    <w:rsid w:val="000D1784"/>
    <w:rsid w:val="000D31FC"/>
    <w:rsid w:val="000D3DDF"/>
    <w:rsid w:val="000D4187"/>
    <w:rsid w:val="000D7234"/>
    <w:rsid w:val="000D74C5"/>
    <w:rsid w:val="000D7997"/>
    <w:rsid w:val="000E0556"/>
    <w:rsid w:val="000E0580"/>
    <w:rsid w:val="000E085B"/>
    <w:rsid w:val="000E0ECE"/>
    <w:rsid w:val="000E1CD9"/>
    <w:rsid w:val="000E20A0"/>
    <w:rsid w:val="000E2BF6"/>
    <w:rsid w:val="000E2C70"/>
    <w:rsid w:val="000E3D2E"/>
    <w:rsid w:val="000E576D"/>
    <w:rsid w:val="000E6897"/>
    <w:rsid w:val="000E6A07"/>
    <w:rsid w:val="000E6AA2"/>
    <w:rsid w:val="000F0883"/>
    <w:rsid w:val="000F0E07"/>
    <w:rsid w:val="000F1122"/>
    <w:rsid w:val="000F24BF"/>
    <w:rsid w:val="000F69FE"/>
    <w:rsid w:val="000F6ECE"/>
    <w:rsid w:val="000F7247"/>
    <w:rsid w:val="000F7770"/>
    <w:rsid w:val="000F79B8"/>
    <w:rsid w:val="0010016A"/>
    <w:rsid w:val="00100863"/>
    <w:rsid w:val="00101B1C"/>
    <w:rsid w:val="00102880"/>
    <w:rsid w:val="00102E35"/>
    <w:rsid w:val="0010364E"/>
    <w:rsid w:val="0010394D"/>
    <w:rsid w:val="00103FC2"/>
    <w:rsid w:val="00106BD3"/>
    <w:rsid w:val="00107524"/>
    <w:rsid w:val="00107695"/>
    <w:rsid w:val="00110132"/>
    <w:rsid w:val="0011082E"/>
    <w:rsid w:val="001109A7"/>
    <w:rsid w:val="00110B95"/>
    <w:rsid w:val="00111600"/>
    <w:rsid w:val="001119E3"/>
    <w:rsid w:val="00111DD1"/>
    <w:rsid w:val="00111FA3"/>
    <w:rsid w:val="00114F8A"/>
    <w:rsid w:val="00115EA8"/>
    <w:rsid w:val="001163C2"/>
    <w:rsid w:val="001164E3"/>
    <w:rsid w:val="001208AB"/>
    <w:rsid w:val="00120D04"/>
    <w:rsid w:val="001214E8"/>
    <w:rsid w:val="001234E5"/>
    <w:rsid w:val="001248B7"/>
    <w:rsid w:val="00124A4D"/>
    <w:rsid w:val="001279C7"/>
    <w:rsid w:val="00130635"/>
    <w:rsid w:val="00130F7E"/>
    <w:rsid w:val="0013178E"/>
    <w:rsid w:val="001332D5"/>
    <w:rsid w:val="001337BC"/>
    <w:rsid w:val="00133960"/>
    <w:rsid w:val="00133DBE"/>
    <w:rsid w:val="00135D9A"/>
    <w:rsid w:val="0013602D"/>
    <w:rsid w:val="00136CF6"/>
    <w:rsid w:val="001433DE"/>
    <w:rsid w:val="00144130"/>
    <w:rsid w:val="001460C2"/>
    <w:rsid w:val="00146928"/>
    <w:rsid w:val="0014710A"/>
    <w:rsid w:val="00150A6C"/>
    <w:rsid w:val="00150AFA"/>
    <w:rsid w:val="00150DB5"/>
    <w:rsid w:val="00151C75"/>
    <w:rsid w:val="00152621"/>
    <w:rsid w:val="0015290B"/>
    <w:rsid w:val="00152AAF"/>
    <w:rsid w:val="00152ECD"/>
    <w:rsid w:val="0015479C"/>
    <w:rsid w:val="00155062"/>
    <w:rsid w:val="00156503"/>
    <w:rsid w:val="00157B47"/>
    <w:rsid w:val="001603A7"/>
    <w:rsid w:val="00160C8A"/>
    <w:rsid w:val="00161DAF"/>
    <w:rsid w:val="00161FA9"/>
    <w:rsid w:val="00162408"/>
    <w:rsid w:val="00163AF0"/>
    <w:rsid w:val="00163F0A"/>
    <w:rsid w:val="00165C12"/>
    <w:rsid w:val="0016658C"/>
    <w:rsid w:val="00166A3B"/>
    <w:rsid w:val="00167771"/>
    <w:rsid w:val="00167B6C"/>
    <w:rsid w:val="00170458"/>
    <w:rsid w:val="00170494"/>
    <w:rsid w:val="001716B2"/>
    <w:rsid w:val="0017171E"/>
    <w:rsid w:val="00171979"/>
    <w:rsid w:val="00173DDB"/>
    <w:rsid w:val="0017757B"/>
    <w:rsid w:val="001777CF"/>
    <w:rsid w:val="00177B55"/>
    <w:rsid w:val="00180202"/>
    <w:rsid w:val="0018080B"/>
    <w:rsid w:val="001810DF"/>
    <w:rsid w:val="001823A8"/>
    <w:rsid w:val="00182957"/>
    <w:rsid w:val="00182C03"/>
    <w:rsid w:val="00182C66"/>
    <w:rsid w:val="00183320"/>
    <w:rsid w:val="00183E04"/>
    <w:rsid w:val="0018445A"/>
    <w:rsid w:val="00184FD9"/>
    <w:rsid w:val="00185088"/>
    <w:rsid w:val="0018697F"/>
    <w:rsid w:val="00187689"/>
    <w:rsid w:val="00187C60"/>
    <w:rsid w:val="001909E4"/>
    <w:rsid w:val="00191275"/>
    <w:rsid w:val="001917F7"/>
    <w:rsid w:val="001920A6"/>
    <w:rsid w:val="001935FF"/>
    <w:rsid w:val="00193ED2"/>
    <w:rsid w:val="00194E77"/>
    <w:rsid w:val="001954E5"/>
    <w:rsid w:val="0019565E"/>
    <w:rsid w:val="00195BCB"/>
    <w:rsid w:val="00195E77"/>
    <w:rsid w:val="00195EA7"/>
    <w:rsid w:val="00196D14"/>
    <w:rsid w:val="001A0003"/>
    <w:rsid w:val="001A04C3"/>
    <w:rsid w:val="001A1BBE"/>
    <w:rsid w:val="001A1FCA"/>
    <w:rsid w:val="001A24ED"/>
    <w:rsid w:val="001A358A"/>
    <w:rsid w:val="001A431D"/>
    <w:rsid w:val="001A44F4"/>
    <w:rsid w:val="001A5151"/>
    <w:rsid w:val="001A5A20"/>
    <w:rsid w:val="001A6BCC"/>
    <w:rsid w:val="001A700B"/>
    <w:rsid w:val="001A7CEE"/>
    <w:rsid w:val="001B02D0"/>
    <w:rsid w:val="001B03D5"/>
    <w:rsid w:val="001B04FF"/>
    <w:rsid w:val="001B0E32"/>
    <w:rsid w:val="001B135F"/>
    <w:rsid w:val="001B18E3"/>
    <w:rsid w:val="001B21B8"/>
    <w:rsid w:val="001B2905"/>
    <w:rsid w:val="001B3456"/>
    <w:rsid w:val="001B3D32"/>
    <w:rsid w:val="001B3ED9"/>
    <w:rsid w:val="001B4996"/>
    <w:rsid w:val="001B5619"/>
    <w:rsid w:val="001B5FF8"/>
    <w:rsid w:val="001B6A9C"/>
    <w:rsid w:val="001B6D26"/>
    <w:rsid w:val="001C0B23"/>
    <w:rsid w:val="001C3C44"/>
    <w:rsid w:val="001C449A"/>
    <w:rsid w:val="001C4586"/>
    <w:rsid w:val="001C6134"/>
    <w:rsid w:val="001C7139"/>
    <w:rsid w:val="001C7DCA"/>
    <w:rsid w:val="001D0E60"/>
    <w:rsid w:val="001D126F"/>
    <w:rsid w:val="001D1522"/>
    <w:rsid w:val="001D29BE"/>
    <w:rsid w:val="001D2C5B"/>
    <w:rsid w:val="001D3080"/>
    <w:rsid w:val="001D36EF"/>
    <w:rsid w:val="001D3730"/>
    <w:rsid w:val="001D456A"/>
    <w:rsid w:val="001D5434"/>
    <w:rsid w:val="001D5C3B"/>
    <w:rsid w:val="001D5D3B"/>
    <w:rsid w:val="001D5F4D"/>
    <w:rsid w:val="001D71D1"/>
    <w:rsid w:val="001D772A"/>
    <w:rsid w:val="001E052E"/>
    <w:rsid w:val="001E177B"/>
    <w:rsid w:val="001E1E71"/>
    <w:rsid w:val="001E1F43"/>
    <w:rsid w:val="001E229A"/>
    <w:rsid w:val="001E30D0"/>
    <w:rsid w:val="001E3FA9"/>
    <w:rsid w:val="001E4269"/>
    <w:rsid w:val="001E4D43"/>
    <w:rsid w:val="001E4F19"/>
    <w:rsid w:val="001E5C5F"/>
    <w:rsid w:val="001E5F23"/>
    <w:rsid w:val="001E603F"/>
    <w:rsid w:val="001E734A"/>
    <w:rsid w:val="001F02AC"/>
    <w:rsid w:val="001F07CB"/>
    <w:rsid w:val="001F0D2D"/>
    <w:rsid w:val="001F48AC"/>
    <w:rsid w:val="001F5246"/>
    <w:rsid w:val="001F58EF"/>
    <w:rsid w:val="001F5C29"/>
    <w:rsid w:val="001F7092"/>
    <w:rsid w:val="0020106E"/>
    <w:rsid w:val="002018CC"/>
    <w:rsid w:val="00201EB3"/>
    <w:rsid w:val="00201FF5"/>
    <w:rsid w:val="00202B56"/>
    <w:rsid w:val="0020586F"/>
    <w:rsid w:val="00206649"/>
    <w:rsid w:val="00207343"/>
    <w:rsid w:val="00207BB1"/>
    <w:rsid w:val="00210ADD"/>
    <w:rsid w:val="0021208F"/>
    <w:rsid w:val="00214F7E"/>
    <w:rsid w:val="002151F7"/>
    <w:rsid w:val="00215535"/>
    <w:rsid w:val="00215828"/>
    <w:rsid w:val="002161B7"/>
    <w:rsid w:val="00216344"/>
    <w:rsid w:val="00216355"/>
    <w:rsid w:val="002172DC"/>
    <w:rsid w:val="00220390"/>
    <w:rsid w:val="00220EF0"/>
    <w:rsid w:val="00221D4A"/>
    <w:rsid w:val="00222A5A"/>
    <w:rsid w:val="00223024"/>
    <w:rsid w:val="002237E7"/>
    <w:rsid w:val="00223967"/>
    <w:rsid w:val="002240CC"/>
    <w:rsid w:val="002249DC"/>
    <w:rsid w:val="002252A7"/>
    <w:rsid w:val="00225999"/>
    <w:rsid w:val="00225DB2"/>
    <w:rsid w:val="00226CE3"/>
    <w:rsid w:val="00227CFF"/>
    <w:rsid w:val="00227F35"/>
    <w:rsid w:val="002309F8"/>
    <w:rsid w:val="00230F39"/>
    <w:rsid w:val="002311DB"/>
    <w:rsid w:val="00231CD6"/>
    <w:rsid w:val="002327A3"/>
    <w:rsid w:val="002335C8"/>
    <w:rsid w:val="00233CF0"/>
    <w:rsid w:val="0023407A"/>
    <w:rsid w:val="002343AA"/>
    <w:rsid w:val="0023452E"/>
    <w:rsid w:val="002345B4"/>
    <w:rsid w:val="00234873"/>
    <w:rsid w:val="00234B73"/>
    <w:rsid w:val="00235784"/>
    <w:rsid w:val="00235EA8"/>
    <w:rsid w:val="00236F4E"/>
    <w:rsid w:val="00237CEE"/>
    <w:rsid w:val="002402A8"/>
    <w:rsid w:val="0024144C"/>
    <w:rsid w:val="00242538"/>
    <w:rsid w:val="0024294C"/>
    <w:rsid w:val="002451CA"/>
    <w:rsid w:val="0024628D"/>
    <w:rsid w:val="0025040B"/>
    <w:rsid w:val="00251B14"/>
    <w:rsid w:val="00253D90"/>
    <w:rsid w:val="002548AD"/>
    <w:rsid w:val="002551BF"/>
    <w:rsid w:val="002553E2"/>
    <w:rsid w:val="00255599"/>
    <w:rsid w:val="002567B4"/>
    <w:rsid w:val="00257EB2"/>
    <w:rsid w:val="0026032E"/>
    <w:rsid w:val="00260A53"/>
    <w:rsid w:val="0026214A"/>
    <w:rsid w:val="00263445"/>
    <w:rsid w:val="00263E44"/>
    <w:rsid w:val="00263E7C"/>
    <w:rsid w:val="00265ED8"/>
    <w:rsid w:val="00267146"/>
    <w:rsid w:val="00267D20"/>
    <w:rsid w:val="0027036F"/>
    <w:rsid w:val="00272081"/>
    <w:rsid w:val="00272206"/>
    <w:rsid w:val="0027292F"/>
    <w:rsid w:val="00272E8C"/>
    <w:rsid w:val="00273E00"/>
    <w:rsid w:val="00273FC5"/>
    <w:rsid w:val="00274051"/>
    <w:rsid w:val="00276525"/>
    <w:rsid w:val="0027752C"/>
    <w:rsid w:val="002776A1"/>
    <w:rsid w:val="00280435"/>
    <w:rsid w:val="0028051F"/>
    <w:rsid w:val="00280D85"/>
    <w:rsid w:val="00282197"/>
    <w:rsid w:val="00282C69"/>
    <w:rsid w:val="002832CC"/>
    <w:rsid w:val="002833DC"/>
    <w:rsid w:val="00283815"/>
    <w:rsid w:val="00286C29"/>
    <w:rsid w:val="00287FA7"/>
    <w:rsid w:val="00290470"/>
    <w:rsid w:val="002904B9"/>
    <w:rsid w:val="00290613"/>
    <w:rsid w:val="002914FF"/>
    <w:rsid w:val="002953F4"/>
    <w:rsid w:val="0029672D"/>
    <w:rsid w:val="0029795F"/>
    <w:rsid w:val="00297EDA"/>
    <w:rsid w:val="002A1921"/>
    <w:rsid w:val="002A25D2"/>
    <w:rsid w:val="002A3419"/>
    <w:rsid w:val="002A3578"/>
    <w:rsid w:val="002A3FC6"/>
    <w:rsid w:val="002A5AC8"/>
    <w:rsid w:val="002A6789"/>
    <w:rsid w:val="002A68A8"/>
    <w:rsid w:val="002A76D6"/>
    <w:rsid w:val="002A787F"/>
    <w:rsid w:val="002A7DE5"/>
    <w:rsid w:val="002B13E5"/>
    <w:rsid w:val="002B1CD2"/>
    <w:rsid w:val="002B25D4"/>
    <w:rsid w:val="002B29F5"/>
    <w:rsid w:val="002B4BCB"/>
    <w:rsid w:val="002B4BCC"/>
    <w:rsid w:val="002B5352"/>
    <w:rsid w:val="002B5384"/>
    <w:rsid w:val="002B5C4A"/>
    <w:rsid w:val="002C03FC"/>
    <w:rsid w:val="002C1082"/>
    <w:rsid w:val="002C2838"/>
    <w:rsid w:val="002C47AA"/>
    <w:rsid w:val="002C5ED2"/>
    <w:rsid w:val="002C6E90"/>
    <w:rsid w:val="002C7D6B"/>
    <w:rsid w:val="002C7FCC"/>
    <w:rsid w:val="002D054A"/>
    <w:rsid w:val="002D055D"/>
    <w:rsid w:val="002D2E4B"/>
    <w:rsid w:val="002D307A"/>
    <w:rsid w:val="002D3462"/>
    <w:rsid w:val="002D36D4"/>
    <w:rsid w:val="002D3B60"/>
    <w:rsid w:val="002D4540"/>
    <w:rsid w:val="002D5378"/>
    <w:rsid w:val="002D74C5"/>
    <w:rsid w:val="002D7660"/>
    <w:rsid w:val="002E044A"/>
    <w:rsid w:val="002E06A1"/>
    <w:rsid w:val="002E1219"/>
    <w:rsid w:val="002E2B1C"/>
    <w:rsid w:val="002E4AA2"/>
    <w:rsid w:val="002E4E43"/>
    <w:rsid w:val="002E533C"/>
    <w:rsid w:val="002E64F6"/>
    <w:rsid w:val="002E68A7"/>
    <w:rsid w:val="002E7917"/>
    <w:rsid w:val="002E7F57"/>
    <w:rsid w:val="002E7FCE"/>
    <w:rsid w:val="002F08F9"/>
    <w:rsid w:val="002F103E"/>
    <w:rsid w:val="002F151C"/>
    <w:rsid w:val="002F1F09"/>
    <w:rsid w:val="002F2193"/>
    <w:rsid w:val="002F243F"/>
    <w:rsid w:val="002F33FB"/>
    <w:rsid w:val="002F476E"/>
    <w:rsid w:val="002F57A1"/>
    <w:rsid w:val="002F5E95"/>
    <w:rsid w:val="002F610A"/>
    <w:rsid w:val="002F65E2"/>
    <w:rsid w:val="002F68B6"/>
    <w:rsid w:val="002F78DA"/>
    <w:rsid w:val="002F7B02"/>
    <w:rsid w:val="00300B0F"/>
    <w:rsid w:val="00301535"/>
    <w:rsid w:val="00301765"/>
    <w:rsid w:val="0030182A"/>
    <w:rsid w:val="0030200A"/>
    <w:rsid w:val="00302379"/>
    <w:rsid w:val="00302E71"/>
    <w:rsid w:val="00302EBC"/>
    <w:rsid w:val="00305083"/>
    <w:rsid w:val="00305BF5"/>
    <w:rsid w:val="00306152"/>
    <w:rsid w:val="00306CC8"/>
    <w:rsid w:val="00307677"/>
    <w:rsid w:val="00307A9F"/>
    <w:rsid w:val="00310995"/>
    <w:rsid w:val="003122EE"/>
    <w:rsid w:val="0031279D"/>
    <w:rsid w:val="003130F9"/>
    <w:rsid w:val="0031347D"/>
    <w:rsid w:val="00313DAE"/>
    <w:rsid w:val="003149CF"/>
    <w:rsid w:val="00315765"/>
    <w:rsid w:val="003166F5"/>
    <w:rsid w:val="00317956"/>
    <w:rsid w:val="00320523"/>
    <w:rsid w:val="00320848"/>
    <w:rsid w:val="00321558"/>
    <w:rsid w:val="00321B4B"/>
    <w:rsid w:val="003220DA"/>
    <w:rsid w:val="00324A67"/>
    <w:rsid w:val="00324F8B"/>
    <w:rsid w:val="0032501E"/>
    <w:rsid w:val="0032564C"/>
    <w:rsid w:val="0032685E"/>
    <w:rsid w:val="00326FEE"/>
    <w:rsid w:val="003273F5"/>
    <w:rsid w:val="003306A8"/>
    <w:rsid w:val="00330BCF"/>
    <w:rsid w:val="0033125B"/>
    <w:rsid w:val="003315AA"/>
    <w:rsid w:val="003315ED"/>
    <w:rsid w:val="0033199F"/>
    <w:rsid w:val="00331D50"/>
    <w:rsid w:val="00332C50"/>
    <w:rsid w:val="00333DB9"/>
    <w:rsid w:val="0033434B"/>
    <w:rsid w:val="0033472B"/>
    <w:rsid w:val="00334B66"/>
    <w:rsid w:val="00334BE8"/>
    <w:rsid w:val="00336478"/>
    <w:rsid w:val="00336A6B"/>
    <w:rsid w:val="00337786"/>
    <w:rsid w:val="00340B5D"/>
    <w:rsid w:val="00341C67"/>
    <w:rsid w:val="00344703"/>
    <w:rsid w:val="00344737"/>
    <w:rsid w:val="00344A74"/>
    <w:rsid w:val="0034555F"/>
    <w:rsid w:val="003458C0"/>
    <w:rsid w:val="00345FE2"/>
    <w:rsid w:val="00347979"/>
    <w:rsid w:val="00350322"/>
    <w:rsid w:val="00351EDD"/>
    <w:rsid w:val="00352F9B"/>
    <w:rsid w:val="00353620"/>
    <w:rsid w:val="003542FC"/>
    <w:rsid w:val="00354EDF"/>
    <w:rsid w:val="003562E4"/>
    <w:rsid w:val="003567D3"/>
    <w:rsid w:val="00362A90"/>
    <w:rsid w:val="00362E06"/>
    <w:rsid w:val="003632F4"/>
    <w:rsid w:val="00363A85"/>
    <w:rsid w:val="00363D70"/>
    <w:rsid w:val="003640C3"/>
    <w:rsid w:val="0036641D"/>
    <w:rsid w:val="00366C08"/>
    <w:rsid w:val="00367F5E"/>
    <w:rsid w:val="003701FF"/>
    <w:rsid w:val="003704F0"/>
    <w:rsid w:val="00370A5E"/>
    <w:rsid w:val="003713E6"/>
    <w:rsid w:val="0037147C"/>
    <w:rsid w:val="00371BF1"/>
    <w:rsid w:val="0037471C"/>
    <w:rsid w:val="003749CF"/>
    <w:rsid w:val="00375A8B"/>
    <w:rsid w:val="00377F82"/>
    <w:rsid w:val="00377F83"/>
    <w:rsid w:val="00380051"/>
    <w:rsid w:val="00380676"/>
    <w:rsid w:val="00382BED"/>
    <w:rsid w:val="00383363"/>
    <w:rsid w:val="00384A4D"/>
    <w:rsid w:val="00384D6F"/>
    <w:rsid w:val="003854C5"/>
    <w:rsid w:val="00385867"/>
    <w:rsid w:val="00386AB2"/>
    <w:rsid w:val="003877AA"/>
    <w:rsid w:val="003916A7"/>
    <w:rsid w:val="00391D7E"/>
    <w:rsid w:val="00392E9F"/>
    <w:rsid w:val="0039306C"/>
    <w:rsid w:val="003941B9"/>
    <w:rsid w:val="00395445"/>
    <w:rsid w:val="003A16B7"/>
    <w:rsid w:val="003A2588"/>
    <w:rsid w:val="003A4D92"/>
    <w:rsid w:val="003B0F39"/>
    <w:rsid w:val="003B11C2"/>
    <w:rsid w:val="003B1568"/>
    <w:rsid w:val="003B158F"/>
    <w:rsid w:val="003B1D05"/>
    <w:rsid w:val="003B3044"/>
    <w:rsid w:val="003B5F9C"/>
    <w:rsid w:val="003B6E87"/>
    <w:rsid w:val="003C028E"/>
    <w:rsid w:val="003C1935"/>
    <w:rsid w:val="003C3205"/>
    <w:rsid w:val="003C38AD"/>
    <w:rsid w:val="003C3A6A"/>
    <w:rsid w:val="003C3AB6"/>
    <w:rsid w:val="003C4A98"/>
    <w:rsid w:val="003C5EEB"/>
    <w:rsid w:val="003C6AE4"/>
    <w:rsid w:val="003C7185"/>
    <w:rsid w:val="003D03D3"/>
    <w:rsid w:val="003D0F7E"/>
    <w:rsid w:val="003D137E"/>
    <w:rsid w:val="003D14C9"/>
    <w:rsid w:val="003D194E"/>
    <w:rsid w:val="003D1A92"/>
    <w:rsid w:val="003D2240"/>
    <w:rsid w:val="003D267C"/>
    <w:rsid w:val="003D339B"/>
    <w:rsid w:val="003D3C44"/>
    <w:rsid w:val="003D4B83"/>
    <w:rsid w:val="003D5050"/>
    <w:rsid w:val="003D5810"/>
    <w:rsid w:val="003D5BEF"/>
    <w:rsid w:val="003E0377"/>
    <w:rsid w:val="003E0D5C"/>
    <w:rsid w:val="003E2025"/>
    <w:rsid w:val="003E2420"/>
    <w:rsid w:val="003E243F"/>
    <w:rsid w:val="003E4E90"/>
    <w:rsid w:val="003E5470"/>
    <w:rsid w:val="003E5F27"/>
    <w:rsid w:val="003E5FF6"/>
    <w:rsid w:val="003E60C3"/>
    <w:rsid w:val="003E6111"/>
    <w:rsid w:val="003E71C1"/>
    <w:rsid w:val="003F0888"/>
    <w:rsid w:val="003F130E"/>
    <w:rsid w:val="003F1A31"/>
    <w:rsid w:val="003F4502"/>
    <w:rsid w:val="003F4A86"/>
    <w:rsid w:val="003F6680"/>
    <w:rsid w:val="003F6E62"/>
    <w:rsid w:val="003F6F2B"/>
    <w:rsid w:val="003F730E"/>
    <w:rsid w:val="003F734B"/>
    <w:rsid w:val="003F7F5B"/>
    <w:rsid w:val="004008B5"/>
    <w:rsid w:val="0040099E"/>
    <w:rsid w:val="00401006"/>
    <w:rsid w:val="0040106A"/>
    <w:rsid w:val="00402163"/>
    <w:rsid w:val="004028E4"/>
    <w:rsid w:val="00403796"/>
    <w:rsid w:val="00405E34"/>
    <w:rsid w:val="004069D7"/>
    <w:rsid w:val="004104D8"/>
    <w:rsid w:val="00410B90"/>
    <w:rsid w:val="00410D0F"/>
    <w:rsid w:val="0041201C"/>
    <w:rsid w:val="0041422D"/>
    <w:rsid w:val="00415B67"/>
    <w:rsid w:val="00417044"/>
    <w:rsid w:val="00417288"/>
    <w:rsid w:val="00417639"/>
    <w:rsid w:val="004203E6"/>
    <w:rsid w:val="00421277"/>
    <w:rsid w:val="004215F3"/>
    <w:rsid w:val="00422AA7"/>
    <w:rsid w:val="00423034"/>
    <w:rsid w:val="00423209"/>
    <w:rsid w:val="00423A7C"/>
    <w:rsid w:val="0042466D"/>
    <w:rsid w:val="00424EE9"/>
    <w:rsid w:val="00425D8F"/>
    <w:rsid w:val="004270F7"/>
    <w:rsid w:val="00427182"/>
    <w:rsid w:val="00430012"/>
    <w:rsid w:val="004302CD"/>
    <w:rsid w:val="004302DE"/>
    <w:rsid w:val="00430E32"/>
    <w:rsid w:val="004317F8"/>
    <w:rsid w:val="00431FB9"/>
    <w:rsid w:val="0043208F"/>
    <w:rsid w:val="00432C89"/>
    <w:rsid w:val="004338A4"/>
    <w:rsid w:val="00433B6B"/>
    <w:rsid w:val="00435F20"/>
    <w:rsid w:val="004364D5"/>
    <w:rsid w:val="00436862"/>
    <w:rsid w:val="004373D6"/>
    <w:rsid w:val="00437E34"/>
    <w:rsid w:val="00437FA8"/>
    <w:rsid w:val="00440392"/>
    <w:rsid w:val="00441281"/>
    <w:rsid w:val="0044363D"/>
    <w:rsid w:val="00443B67"/>
    <w:rsid w:val="00444049"/>
    <w:rsid w:val="00444B7F"/>
    <w:rsid w:val="00444C86"/>
    <w:rsid w:val="00445F30"/>
    <w:rsid w:val="00451033"/>
    <w:rsid w:val="0045238F"/>
    <w:rsid w:val="0045371C"/>
    <w:rsid w:val="0045506A"/>
    <w:rsid w:val="00455394"/>
    <w:rsid w:val="004557EE"/>
    <w:rsid w:val="00457EFF"/>
    <w:rsid w:val="0046166D"/>
    <w:rsid w:val="00461CCB"/>
    <w:rsid w:val="00461CCE"/>
    <w:rsid w:val="0046218C"/>
    <w:rsid w:val="00463A60"/>
    <w:rsid w:val="00463AED"/>
    <w:rsid w:val="004669D2"/>
    <w:rsid w:val="00467BEA"/>
    <w:rsid w:val="00467C3F"/>
    <w:rsid w:val="00470D1C"/>
    <w:rsid w:val="00472BDD"/>
    <w:rsid w:val="004731EF"/>
    <w:rsid w:val="0047334B"/>
    <w:rsid w:val="00473AFB"/>
    <w:rsid w:val="00474B47"/>
    <w:rsid w:val="0047542A"/>
    <w:rsid w:val="00475474"/>
    <w:rsid w:val="00476D9F"/>
    <w:rsid w:val="00477B3C"/>
    <w:rsid w:val="00477DF5"/>
    <w:rsid w:val="00480CF5"/>
    <w:rsid w:val="0048126F"/>
    <w:rsid w:val="00482A47"/>
    <w:rsid w:val="00482F92"/>
    <w:rsid w:val="00483597"/>
    <w:rsid w:val="00483978"/>
    <w:rsid w:val="0048445A"/>
    <w:rsid w:val="004852A9"/>
    <w:rsid w:val="00485ADC"/>
    <w:rsid w:val="00485CE5"/>
    <w:rsid w:val="0048608D"/>
    <w:rsid w:val="004861DF"/>
    <w:rsid w:val="0048688F"/>
    <w:rsid w:val="00486D4C"/>
    <w:rsid w:val="00487898"/>
    <w:rsid w:val="00490105"/>
    <w:rsid w:val="00490C64"/>
    <w:rsid w:val="004918A6"/>
    <w:rsid w:val="0049248A"/>
    <w:rsid w:val="0049351C"/>
    <w:rsid w:val="004961BC"/>
    <w:rsid w:val="0049645E"/>
    <w:rsid w:val="00497A06"/>
    <w:rsid w:val="00497C6A"/>
    <w:rsid w:val="004A0CB6"/>
    <w:rsid w:val="004A0FB4"/>
    <w:rsid w:val="004A299B"/>
    <w:rsid w:val="004A4549"/>
    <w:rsid w:val="004A663D"/>
    <w:rsid w:val="004A6DC9"/>
    <w:rsid w:val="004A7833"/>
    <w:rsid w:val="004B1636"/>
    <w:rsid w:val="004B233B"/>
    <w:rsid w:val="004B33C3"/>
    <w:rsid w:val="004B3480"/>
    <w:rsid w:val="004B432E"/>
    <w:rsid w:val="004B549A"/>
    <w:rsid w:val="004B567C"/>
    <w:rsid w:val="004B56B4"/>
    <w:rsid w:val="004B5F46"/>
    <w:rsid w:val="004B6C3F"/>
    <w:rsid w:val="004C1264"/>
    <w:rsid w:val="004C1EB1"/>
    <w:rsid w:val="004C2022"/>
    <w:rsid w:val="004C29F0"/>
    <w:rsid w:val="004C2A31"/>
    <w:rsid w:val="004C2B77"/>
    <w:rsid w:val="004C34A1"/>
    <w:rsid w:val="004C41B2"/>
    <w:rsid w:val="004C473B"/>
    <w:rsid w:val="004C531F"/>
    <w:rsid w:val="004C5D05"/>
    <w:rsid w:val="004C63DB"/>
    <w:rsid w:val="004C709A"/>
    <w:rsid w:val="004C7A32"/>
    <w:rsid w:val="004D02ED"/>
    <w:rsid w:val="004D160D"/>
    <w:rsid w:val="004D2FAE"/>
    <w:rsid w:val="004D35EB"/>
    <w:rsid w:val="004D4356"/>
    <w:rsid w:val="004D48D0"/>
    <w:rsid w:val="004D4AE5"/>
    <w:rsid w:val="004D5437"/>
    <w:rsid w:val="004D5BD8"/>
    <w:rsid w:val="004D5CBA"/>
    <w:rsid w:val="004D61F2"/>
    <w:rsid w:val="004D6323"/>
    <w:rsid w:val="004D6CBB"/>
    <w:rsid w:val="004D6F5F"/>
    <w:rsid w:val="004E029C"/>
    <w:rsid w:val="004E10BC"/>
    <w:rsid w:val="004E17A4"/>
    <w:rsid w:val="004E1F18"/>
    <w:rsid w:val="004E3C1C"/>
    <w:rsid w:val="004E450D"/>
    <w:rsid w:val="004E4D16"/>
    <w:rsid w:val="004E5223"/>
    <w:rsid w:val="004E537D"/>
    <w:rsid w:val="004E7EC4"/>
    <w:rsid w:val="004F1C0F"/>
    <w:rsid w:val="004F236A"/>
    <w:rsid w:val="004F2477"/>
    <w:rsid w:val="004F3948"/>
    <w:rsid w:val="004F39B1"/>
    <w:rsid w:val="004F3A41"/>
    <w:rsid w:val="004F4331"/>
    <w:rsid w:val="004F503C"/>
    <w:rsid w:val="004F5056"/>
    <w:rsid w:val="004F56CD"/>
    <w:rsid w:val="004F5841"/>
    <w:rsid w:val="004F5BB0"/>
    <w:rsid w:val="004F66BA"/>
    <w:rsid w:val="00500227"/>
    <w:rsid w:val="005005E3"/>
    <w:rsid w:val="005029D0"/>
    <w:rsid w:val="00505F45"/>
    <w:rsid w:val="00506332"/>
    <w:rsid w:val="005068E2"/>
    <w:rsid w:val="00506E17"/>
    <w:rsid w:val="00507DF5"/>
    <w:rsid w:val="00510324"/>
    <w:rsid w:val="00510C36"/>
    <w:rsid w:val="005111BB"/>
    <w:rsid w:val="00511DE5"/>
    <w:rsid w:val="00512250"/>
    <w:rsid w:val="005135D0"/>
    <w:rsid w:val="00514213"/>
    <w:rsid w:val="00515864"/>
    <w:rsid w:val="00516966"/>
    <w:rsid w:val="00520523"/>
    <w:rsid w:val="00521723"/>
    <w:rsid w:val="00523CFA"/>
    <w:rsid w:val="00523F8C"/>
    <w:rsid w:val="0052470E"/>
    <w:rsid w:val="00526892"/>
    <w:rsid w:val="00527001"/>
    <w:rsid w:val="00527129"/>
    <w:rsid w:val="00527204"/>
    <w:rsid w:val="00530ABB"/>
    <w:rsid w:val="00531906"/>
    <w:rsid w:val="00532B58"/>
    <w:rsid w:val="00532C79"/>
    <w:rsid w:val="00533E4B"/>
    <w:rsid w:val="00535BD6"/>
    <w:rsid w:val="0053642D"/>
    <w:rsid w:val="005367E5"/>
    <w:rsid w:val="00536E0B"/>
    <w:rsid w:val="00537094"/>
    <w:rsid w:val="00537D11"/>
    <w:rsid w:val="00542344"/>
    <w:rsid w:val="00543583"/>
    <w:rsid w:val="00544967"/>
    <w:rsid w:val="00544C17"/>
    <w:rsid w:val="00544E46"/>
    <w:rsid w:val="00545B44"/>
    <w:rsid w:val="0054643D"/>
    <w:rsid w:val="005467E0"/>
    <w:rsid w:val="005469B8"/>
    <w:rsid w:val="005470F8"/>
    <w:rsid w:val="0054773B"/>
    <w:rsid w:val="005504D3"/>
    <w:rsid w:val="005509D2"/>
    <w:rsid w:val="00550AEF"/>
    <w:rsid w:val="00551A03"/>
    <w:rsid w:val="00552AF2"/>
    <w:rsid w:val="00554FA0"/>
    <w:rsid w:val="00555149"/>
    <w:rsid w:val="00556896"/>
    <w:rsid w:val="00556911"/>
    <w:rsid w:val="00556C44"/>
    <w:rsid w:val="00556FED"/>
    <w:rsid w:val="00557018"/>
    <w:rsid w:val="0056021D"/>
    <w:rsid w:val="00560769"/>
    <w:rsid w:val="00560D5D"/>
    <w:rsid w:val="00561092"/>
    <w:rsid w:val="00561141"/>
    <w:rsid w:val="00562003"/>
    <w:rsid w:val="00562313"/>
    <w:rsid w:val="00562386"/>
    <w:rsid w:val="005624AF"/>
    <w:rsid w:val="00562977"/>
    <w:rsid w:val="00562C43"/>
    <w:rsid w:val="00563629"/>
    <w:rsid w:val="0056493E"/>
    <w:rsid w:val="00565CD3"/>
    <w:rsid w:val="00566D4E"/>
    <w:rsid w:val="00566F60"/>
    <w:rsid w:val="00572189"/>
    <w:rsid w:val="005722D0"/>
    <w:rsid w:val="0057259D"/>
    <w:rsid w:val="0057273F"/>
    <w:rsid w:val="00573DBA"/>
    <w:rsid w:val="00573EA5"/>
    <w:rsid w:val="00573F0F"/>
    <w:rsid w:val="005758C0"/>
    <w:rsid w:val="005758DF"/>
    <w:rsid w:val="00575AAE"/>
    <w:rsid w:val="00577B04"/>
    <w:rsid w:val="00577C6D"/>
    <w:rsid w:val="00580755"/>
    <w:rsid w:val="00580F8B"/>
    <w:rsid w:val="00582139"/>
    <w:rsid w:val="00582474"/>
    <w:rsid w:val="0058272A"/>
    <w:rsid w:val="00582776"/>
    <w:rsid w:val="00582D5E"/>
    <w:rsid w:val="0058356B"/>
    <w:rsid w:val="005866F3"/>
    <w:rsid w:val="0058684D"/>
    <w:rsid w:val="005900C9"/>
    <w:rsid w:val="00590C29"/>
    <w:rsid w:val="005918FB"/>
    <w:rsid w:val="00591B3E"/>
    <w:rsid w:val="00592676"/>
    <w:rsid w:val="00592C7C"/>
    <w:rsid w:val="00592E37"/>
    <w:rsid w:val="0059430A"/>
    <w:rsid w:val="00595653"/>
    <w:rsid w:val="00595E5D"/>
    <w:rsid w:val="00596607"/>
    <w:rsid w:val="00597597"/>
    <w:rsid w:val="005A069B"/>
    <w:rsid w:val="005A2769"/>
    <w:rsid w:val="005A2EE4"/>
    <w:rsid w:val="005A3682"/>
    <w:rsid w:val="005A479F"/>
    <w:rsid w:val="005A4EA2"/>
    <w:rsid w:val="005A69A2"/>
    <w:rsid w:val="005B23B9"/>
    <w:rsid w:val="005B2938"/>
    <w:rsid w:val="005B313D"/>
    <w:rsid w:val="005B5934"/>
    <w:rsid w:val="005B6000"/>
    <w:rsid w:val="005B6DE9"/>
    <w:rsid w:val="005B7F31"/>
    <w:rsid w:val="005C097C"/>
    <w:rsid w:val="005C2412"/>
    <w:rsid w:val="005C25FB"/>
    <w:rsid w:val="005C2F48"/>
    <w:rsid w:val="005C389E"/>
    <w:rsid w:val="005C4610"/>
    <w:rsid w:val="005C508E"/>
    <w:rsid w:val="005C50C4"/>
    <w:rsid w:val="005C5974"/>
    <w:rsid w:val="005C6805"/>
    <w:rsid w:val="005C6F4B"/>
    <w:rsid w:val="005D011B"/>
    <w:rsid w:val="005D0558"/>
    <w:rsid w:val="005D1BD5"/>
    <w:rsid w:val="005D2938"/>
    <w:rsid w:val="005D2C60"/>
    <w:rsid w:val="005D2E15"/>
    <w:rsid w:val="005D3324"/>
    <w:rsid w:val="005D3E02"/>
    <w:rsid w:val="005D3FBD"/>
    <w:rsid w:val="005D48A4"/>
    <w:rsid w:val="005D5E9E"/>
    <w:rsid w:val="005D7C89"/>
    <w:rsid w:val="005E0311"/>
    <w:rsid w:val="005E1D66"/>
    <w:rsid w:val="005E23AD"/>
    <w:rsid w:val="005E26BB"/>
    <w:rsid w:val="005E2942"/>
    <w:rsid w:val="005E3BD2"/>
    <w:rsid w:val="005E4491"/>
    <w:rsid w:val="005E4BF7"/>
    <w:rsid w:val="005E4F23"/>
    <w:rsid w:val="005E5259"/>
    <w:rsid w:val="005E5FCC"/>
    <w:rsid w:val="005E6F51"/>
    <w:rsid w:val="005E7B10"/>
    <w:rsid w:val="005F19B5"/>
    <w:rsid w:val="005F1B51"/>
    <w:rsid w:val="005F1BBB"/>
    <w:rsid w:val="005F22C8"/>
    <w:rsid w:val="005F286A"/>
    <w:rsid w:val="005F29E3"/>
    <w:rsid w:val="005F2E1C"/>
    <w:rsid w:val="005F34E9"/>
    <w:rsid w:val="005F3A1E"/>
    <w:rsid w:val="005F5304"/>
    <w:rsid w:val="005F6739"/>
    <w:rsid w:val="00600032"/>
    <w:rsid w:val="00600BF6"/>
    <w:rsid w:val="00603992"/>
    <w:rsid w:val="00604AEF"/>
    <w:rsid w:val="00605E98"/>
    <w:rsid w:val="00606325"/>
    <w:rsid w:val="00606F8B"/>
    <w:rsid w:val="00607E68"/>
    <w:rsid w:val="00607F6E"/>
    <w:rsid w:val="006113DB"/>
    <w:rsid w:val="00611615"/>
    <w:rsid w:val="0061208B"/>
    <w:rsid w:val="00612600"/>
    <w:rsid w:val="006128E5"/>
    <w:rsid w:val="0061341B"/>
    <w:rsid w:val="0061365E"/>
    <w:rsid w:val="00613670"/>
    <w:rsid w:val="006143DC"/>
    <w:rsid w:val="00615582"/>
    <w:rsid w:val="0061565C"/>
    <w:rsid w:val="006172B8"/>
    <w:rsid w:val="006179BF"/>
    <w:rsid w:val="00617E91"/>
    <w:rsid w:val="006203F6"/>
    <w:rsid w:val="00621B53"/>
    <w:rsid w:val="0062231F"/>
    <w:rsid w:val="00623058"/>
    <w:rsid w:val="0062332A"/>
    <w:rsid w:val="006237F6"/>
    <w:rsid w:val="00623E8E"/>
    <w:rsid w:val="0062427B"/>
    <w:rsid w:val="0062477A"/>
    <w:rsid w:val="00625169"/>
    <w:rsid w:val="00625917"/>
    <w:rsid w:val="00626D94"/>
    <w:rsid w:val="006314F1"/>
    <w:rsid w:val="006315D3"/>
    <w:rsid w:val="006324F5"/>
    <w:rsid w:val="006335A0"/>
    <w:rsid w:val="006350FD"/>
    <w:rsid w:val="006355B2"/>
    <w:rsid w:val="00637318"/>
    <w:rsid w:val="00637D64"/>
    <w:rsid w:val="00637F30"/>
    <w:rsid w:val="00637FE4"/>
    <w:rsid w:val="006402C7"/>
    <w:rsid w:val="0064394F"/>
    <w:rsid w:val="00643AE4"/>
    <w:rsid w:val="00644994"/>
    <w:rsid w:val="00646339"/>
    <w:rsid w:val="0064635E"/>
    <w:rsid w:val="00646A83"/>
    <w:rsid w:val="00646F6F"/>
    <w:rsid w:val="00651395"/>
    <w:rsid w:val="006517F6"/>
    <w:rsid w:val="006518EC"/>
    <w:rsid w:val="00651EF2"/>
    <w:rsid w:val="0065240D"/>
    <w:rsid w:val="006524EE"/>
    <w:rsid w:val="00652BCD"/>
    <w:rsid w:val="00653301"/>
    <w:rsid w:val="00653F9C"/>
    <w:rsid w:val="00654237"/>
    <w:rsid w:val="00656544"/>
    <w:rsid w:val="00656F36"/>
    <w:rsid w:val="00656F90"/>
    <w:rsid w:val="006577C3"/>
    <w:rsid w:val="00660469"/>
    <w:rsid w:val="0066379A"/>
    <w:rsid w:val="00663A3F"/>
    <w:rsid w:val="00663C0A"/>
    <w:rsid w:val="006651A5"/>
    <w:rsid w:val="006660E3"/>
    <w:rsid w:val="00666E73"/>
    <w:rsid w:val="00671960"/>
    <w:rsid w:val="006756BC"/>
    <w:rsid w:val="0067632F"/>
    <w:rsid w:val="00676826"/>
    <w:rsid w:val="006769A6"/>
    <w:rsid w:val="0067733A"/>
    <w:rsid w:val="00680604"/>
    <w:rsid w:val="00681619"/>
    <w:rsid w:val="00681D83"/>
    <w:rsid w:val="006820E9"/>
    <w:rsid w:val="00682560"/>
    <w:rsid w:val="00685667"/>
    <w:rsid w:val="0068593B"/>
    <w:rsid w:val="00686692"/>
    <w:rsid w:val="00686F37"/>
    <w:rsid w:val="00686FFE"/>
    <w:rsid w:val="0068731D"/>
    <w:rsid w:val="00690151"/>
    <w:rsid w:val="00690D93"/>
    <w:rsid w:val="006932E6"/>
    <w:rsid w:val="0069439D"/>
    <w:rsid w:val="00696232"/>
    <w:rsid w:val="006A0A8B"/>
    <w:rsid w:val="006A0ACB"/>
    <w:rsid w:val="006A0E6B"/>
    <w:rsid w:val="006A196E"/>
    <w:rsid w:val="006A250D"/>
    <w:rsid w:val="006A255B"/>
    <w:rsid w:val="006A305B"/>
    <w:rsid w:val="006A4049"/>
    <w:rsid w:val="006A47A4"/>
    <w:rsid w:val="006A5186"/>
    <w:rsid w:val="006A5C1B"/>
    <w:rsid w:val="006A7A16"/>
    <w:rsid w:val="006A7CE1"/>
    <w:rsid w:val="006B0BE0"/>
    <w:rsid w:val="006B1026"/>
    <w:rsid w:val="006B1541"/>
    <w:rsid w:val="006B176C"/>
    <w:rsid w:val="006B1F57"/>
    <w:rsid w:val="006B23E9"/>
    <w:rsid w:val="006B47AC"/>
    <w:rsid w:val="006B5C97"/>
    <w:rsid w:val="006B68C2"/>
    <w:rsid w:val="006B6C44"/>
    <w:rsid w:val="006C132E"/>
    <w:rsid w:val="006C2422"/>
    <w:rsid w:val="006C2CEE"/>
    <w:rsid w:val="006C3F24"/>
    <w:rsid w:val="006C4E52"/>
    <w:rsid w:val="006C5B2C"/>
    <w:rsid w:val="006C5F9E"/>
    <w:rsid w:val="006C6076"/>
    <w:rsid w:val="006C6810"/>
    <w:rsid w:val="006C68AC"/>
    <w:rsid w:val="006D103F"/>
    <w:rsid w:val="006D1D4F"/>
    <w:rsid w:val="006D3540"/>
    <w:rsid w:val="006D36F2"/>
    <w:rsid w:val="006D38F0"/>
    <w:rsid w:val="006D45C5"/>
    <w:rsid w:val="006D493A"/>
    <w:rsid w:val="006D568F"/>
    <w:rsid w:val="006D7B01"/>
    <w:rsid w:val="006D7EAE"/>
    <w:rsid w:val="006E0E26"/>
    <w:rsid w:val="006E119B"/>
    <w:rsid w:val="006E132B"/>
    <w:rsid w:val="006E165F"/>
    <w:rsid w:val="006E25C8"/>
    <w:rsid w:val="006E2733"/>
    <w:rsid w:val="006E3D46"/>
    <w:rsid w:val="006E41CE"/>
    <w:rsid w:val="006E44AD"/>
    <w:rsid w:val="006E68CC"/>
    <w:rsid w:val="006E7264"/>
    <w:rsid w:val="006E7E19"/>
    <w:rsid w:val="006F010C"/>
    <w:rsid w:val="006F08F1"/>
    <w:rsid w:val="006F1B85"/>
    <w:rsid w:val="006F1D69"/>
    <w:rsid w:val="006F2E7B"/>
    <w:rsid w:val="006F3749"/>
    <w:rsid w:val="006F474D"/>
    <w:rsid w:val="006F6CC0"/>
    <w:rsid w:val="0070039F"/>
    <w:rsid w:val="007011F8"/>
    <w:rsid w:val="0070121E"/>
    <w:rsid w:val="00701911"/>
    <w:rsid w:val="00702182"/>
    <w:rsid w:val="0070264E"/>
    <w:rsid w:val="00703085"/>
    <w:rsid w:val="00703200"/>
    <w:rsid w:val="00706184"/>
    <w:rsid w:val="0071011D"/>
    <w:rsid w:val="00711966"/>
    <w:rsid w:val="00711DEB"/>
    <w:rsid w:val="007121F4"/>
    <w:rsid w:val="00712F76"/>
    <w:rsid w:val="00713963"/>
    <w:rsid w:val="00713EBF"/>
    <w:rsid w:val="00713F0B"/>
    <w:rsid w:val="00714616"/>
    <w:rsid w:val="007150FD"/>
    <w:rsid w:val="00715116"/>
    <w:rsid w:val="00715D80"/>
    <w:rsid w:val="007164D7"/>
    <w:rsid w:val="00716531"/>
    <w:rsid w:val="007173F0"/>
    <w:rsid w:val="00717988"/>
    <w:rsid w:val="007202F6"/>
    <w:rsid w:val="00720DD5"/>
    <w:rsid w:val="00722641"/>
    <w:rsid w:val="007242F4"/>
    <w:rsid w:val="00724D59"/>
    <w:rsid w:val="00725268"/>
    <w:rsid w:val="00725FB2"/>
    <w:rsid w:val="007261DB"/>
    <w:rsid w:val="00726C1F"/>
    <w:rsid w:val="00727711"/>
    <w:rsid w:val="00727C47"/>
    <w:rsid w:val="00730A4A"/>
    <w:rsid w:val="00730D3F"/>
    <w:rsid w:val="00731967"/>
    <w:rsid w:val="007325D5"/>
    <w:rsid w:val="00732673"/>
    <w:rsid w:val="00732C62"/>
    <w:rsid w:val="00732FC1"/>
    <w:rsid w:val="0073437B"/>
    <w:rsid w:val="007343CF"/>
    <w:rsid w:val="0073689E"/>
    <w:rsid w:val="00737639"/>
    <w:rsid w:val="007377F3"/>
    <w:rsid w:val="00740658"/>
    <w:rsid w:val="00740AD2"/>
    <w:rsid w:val="007411E5"/>
    <w:rsid w:val="00741CD0"/>
    <w:rsid w:val="007433E6"/>
    <w:rsid w:val="007433F0"/>
    <w:rsid w:val="0074508D"/>
    <w:rsid w:val="00745F1D"/>
    <w:rsid w:val="00746095"/>
    <w:rsid w:val="00746163"/>
    <w:rsid w:val="007474D7"/>
    <w:rsid w:val="00747A22"/>
    <w:rsid w:val="007506C7"/>
    <w:rsid w:val="00750928"/>
    <w:rsid w:val="00750FF9"/>
    <w:rsid w:val="00752376"/>
    <w:rsid w:val="00752EF5"/>
    <w:rsid w:val="00754014"/>
    <w:rsid w:val="00755488"/>
    <w:rsid w:val="0075642C"/>
    <w:rsid w:val="00756798"/>
    <w:rsid w:val="0076202E"/>
    <w:rsid w:val="007628D8"/>
    <w:rsid w:val="00762C9A"/>
    <w:rsid w:val="0076318F"/>
    <w:rsid w:val="00764297"/>
    <w:rsid w:val="00764D37"/>
    <w:rsid w:val="00767032"/>
    <w:rsid w:val="00767512"/>
    <w:rsid w:val="00767B0F"/>
    <w:rsid w:val="00767C7F"/>
    <w:rsid w:val="00767D97"/>
    <w:rsid w:val="00767E01"/>
    <w:rsid w:val="0077061B"/>
    <w:rsid w:val="00771C42"/>
    <w:rsid w:val="00771D99"/>
    <w:rsid w:val="00772809"/>
    <w:rsid w:val="00774BB9"/>
    <w:rsid w:val="0077658E"/>
    <w:rsid w:val="007765A2"/>
    <w:rsid w:val="0077683F"/>
    <w:rsid w:val="00776876"/>
    <w:rsid w:val="007775D9"/>
    <w:rsid w:val="0078029E"/>
    <w:rsid w:val="007834F1"/>
    <w:rsid w:val="007837E0"/>
    <w:rsid w:val="0078688A"/>
    <w:rsid w:val="00786ECB"/>
    <w:rsid w:val="00787C34"/>
    <w:rsid w:val="00787DEA"/>
    <w:rsid w:val="00790AB9"/>
    <w:rsid w:val="007917D7"/>
    <w:rsid w:val="00791A5F"/>
    <w:rsid w:val="00791E3B"/>
    <w:rsid w:val="00791E78"/>
    <w:rsid w:val="0079586C"/>
    <w:rsid w:val="00796B77"/>
    <w:rsid w:val="00796D98"/>
    <w:rsid w:val="0079751B"/>
    <w:rsid w:val="007A0364"/>
    <w:rsid w:val="007A0A7F"/>
    <w:rsid w:val="007A0AA7"/>
    <w:rsid w:val="007A10B1"/>
    <w:rsid w:val="007A1303"/>
    <w:rsid w:val="007A1AB1"/>
    <w:rsid w:val="007A369F"/>
    <w:rsid w:val="007A5734"/>
    <w:rsid w:val="007A60B4"/>
    <w:rsid w:val="007A6120"/>
    <w:rsid w:val="007A66F1"/>
    <w:rsid w:val="007B0FAB"/>
    <w:rsid w:val="007B1296"/>
    <w:rsid w:val="007B1437"/>
    <w:rsid w:val="007B226F"/>
    <w:rsid w:val="007B2612"/>
    <w:rsid w:val="007B32E8"/>
    <w:rsid w:val="007B523E"/>
    <w:rsid w:val="007B6767"/>
    <w:rsid w:val="007B68FF"/>
    <w:rsid w:val="007B6978"/>
    <w:rsid w:val="007C0CCF"/>
    <w:rsid w:val="007C219A"/>
    <w:rsid w:val="007C3276"/>
    <w:rsid w:val="007C35A4"/>
    <w:rsid w:val="007C3EDC"/>
    <w:rsid w:val="007C413A"/>
    <w:rsid w:val="007C5D26"/>
    <w:rsid w:val="007C5F2B"/>
    <w:rsid w:val="007D01D5"/>
    <w:rsid w:val="007D0404"/>
    <w:rsid w:val="007D07A4"/>
    <w:rsid w:val="007D0A5B"/>
    <w:rsid w:val="007D0C5B"/>
    <w:rsid w:val="007D1B64"/>
    <w:rsid w:val="007D24DC"/>
    <w:rsid w:val="007D29B6"/>
    <w:rsid w:val="007D2CB5"/>
    <w:rsid w:val="007D376C"/>
    <w:rsid w:val="007D57A4"/>
    <w:rsid w:val="007D78C5"/>
    <w:rsid w:val="007D7F3B"/>
    <w:rsid w:val="007E18CF"/>
    <w:rsid w:val="007E1B23"/>
    <w:rsid w:val="007E3F46"/>
    <w:rsid w:val="007E41C5"/>
    <w:rsid w:val="007E4221"/>
    <w:rsid w:val="007E6AB6"/>
    <w:rsid w:val="007E730D"/>
    <w:rsid w:val="007E7943"/>
    <w:rsid w:val="007F0952"/>
    <w:rsid w:val="007F264D"/>
    <w:rsid w:val="007F396E"/>
    <w:rsid w:val="007F54FC"/>
    <w:rsid w:val="007F5EA5"/>
    <w:rsid w:val="007F73E8"/>
    <w:rsid w:val="007F78CE"/>
    <w:rsid w:val="007F7A5E"/>
    <w:rsid w:val="007F7BB7"/>
    <w:rsid w:val="008006AE"/>
    <w:rsid w:val="00801417"/>
    <w:rsid w:val="00801647"/>
    <w:rsid w:val="00801954"/>
    <w:rsid w:val="008027E2"/>
    <w:rsid w:val="0080399F"/>
    <w:rsid w:val="00803B08"/>
    <w:rsid w:val="008063F0"/>
    <w:rsid w:val="00806AE8"/>
    <w:rsid w:val="00806BD3"/>
    <w:rsid w:val="00807FD2"/>
    <w:rsid w:val="00810262"/>
    <w:rsid w:val="0081063B"/>
    <w:rsid w:val="008106C2"/>
    <w:rsid w:val="008109F2"/>
    <w:rsid w:val="00813086"/>
    <w:rsid w:val="00813C65"/>
    <w:rsid w:val="0081548F"/>
    <w:rsid w:val="00815E51"/>
    <w:rsid w:val="0081751E"/>
    <w:rsid w:val="00817AA6"/>
    <w:rsid w:val="0082034B"/>
    <w:rsid w:val="008214EA"/>
    <w:rsid w:val="008217F5"/>
    <w:rsid w:val="00824711"/>
    <w:rsid w:val="0082499D"/>
    <w:rsid w:val="00824A04"/>
    <w:rsid w:val="00825811"/>
    <w:rsid w:val="00825916"/>
    <w:rsid w:val="00825F5A"/>
    <w:rsid w:val="00826092"/>
    <w:rsid w:val="00827B48"/>
    <w:rsid w:val="00830466"/>
    <w:rsid w:val="00831269"/>
    <w:rsid w:val="0083139F"/>
    <w:rsid w:val="00831972"/>
    <w:rsid w:val="00832E28"/>
    <w:rsid w:val="0083375D"/>
    <w:rsid w:val="00834507"/>
    <w:rsid w:val="00835B50"/>
    <w:rsid w:val="00836EE5"/>
    <w:rsid w:val="00837030"/>
    <w:rsid w:val="0083705F"/>
    <w:rsid w:val="00840860"/>
    <w:rsid w:val="008436A3"/>
    <w:rsid w:val="00843F1C"/>
    <w:rsid w:val="008442F6"/>
    <w:rsid w:val="0084466F"/>
    <w:rsid w:val="00845C8D"/>
    <w:rsid w:val="00846F72"/>
    <w:rsid w:val="00847E93"/>
    <w:rsid w:val="008522BD"/>
    <w:rsid w:val="0085255B"/>
    <w:rsid w:val="00853138"/>
    <w:rsid w:val="008531B7"/>
    <w:rsid w:val="008546E3"/>
    <w:rsid w:val="00855EDD"/>
    <w:rsid w:val="00855F59"/>
    <w:rsid w:val="0086011F"/>
    <w:rsid w:val="00860C1F"/>
    <w:rsid w:val="00861707"/>
    <w:rsid w:val="00861C68"/>
    <w:rsid w:val="00865B62"/>
    <w:rsid w:val="0086602B"/>
    <w:rsid w:val="00866D6A"/>
    <w:rsid w:val="00867160"/>
    <w:rsid w:val="00867CB2"/>
    <w:rsid w:val="00867E28"/>
    <w:rsid w:val="00867E84"/>
    <w:rsid w:val="008705B5"/>
    <w:rsid w:val="008717D4"/>
    <w:rsid w:val="00871B19"/>
    <w:rsid w:val="0087287B"/>
    <w:rsid w:val="00873012"/>
    <w:rsid w:val="00873C20"/>
    <w:rsid w:val="00873D55"/>
    <w:rsid w:val="00873FE3"/>
    <w:rsid w:val="0087473C"/>
    <w:rsid w:val="00874765"/>
    <w:rsid w:val="008748B8"/>
    <w:rsid w:val="00875048"/>
    <w:rsid w:val="00880F3F"/>
    <w:rsid w:val="00881470"/>
    <w:rsid w:val="00882593"/>
    <w:rsid w:val="00882DA7"/>
    <w:rsid w:val="00882DB2"/>
    <w:rsid w:val="00884094"/>
    <w:rsid w:val="00884DD0"/>
    <w:rsid w:val="00885503"/>
    <w:rsid w:val="00886152"/>
    <w:rsid w:val="00886FA8"/>
    <w:rsid w:val="0088731D"/>
    <w:rsid w:val="00887419"/>
    <w:rsid w:val="008916AE"/>
    <w:rsid w:val="00891894"/>
    <w:rsid w:val="00893765"/>
    <w:rsid w:val="00893DC9"/>
    <w:rsid w:val="00894C17"/>
    <w:rsid w:val="00895BDD"/>
    <w:rsid w:val="00896CC5"/>
    <w:rsid w:val="008971C4"/>
    <w:rsid w:val="00897A39"/>
    <w:rsid w:val="008A10DF"/>
    <w:rsid w:val="008A260E"/>
    <w:rsid w:val="008A2D0D"/>
    <w:rsid w:val="008A3015"/>
    <w:rsid w:val="008A3281"/>
    <w:rsid w:val="008A350A"/>
    <w:rsid w:val="008A368D"/>
    <w:rsid w:val="008A4E43"/>
    <w:rsid w:val="008A57A3"/>
    <w:rsid w:val="008A5D3D"/>
    <w:rsid w:val="008B035E"/>
    <w:rsid w:val="008B0BF5"/>
    <w:rsid w:val="008B141E"/>
    <w:rsid w:val="008B3741"/>
    <w:rsid w:val="008B3E8A"/>
    <w:rsid w:val="008B47D3"/>
    <w:rsid w:val="008B4CB4"/>
    <w:rsid w:val="008B4D40"/>
    <w:rsid w:val="008B5463"/>
    <w:rsid w:val="008B5999"/>
    <w:rsid w:val="008B5DBA"/>
    <w:rsid w:val="008B6F03"/>
    <w:rsid w:val="008B712C"/>
    <w:rsid w:val="008B742B"/>
    <w:rsid w:val="008B7EDB"/>
    <w:rsid w:val="008C0750"/>
    <w:rsid w:val="008C408E"/>
    <w:rsid w:val="008C4ED9"/>
    <w:rsid w:val="008C5BBC"/>
    <w:rsid w:val="008C5E66"/>
    <w:rsid w:val="008C675B"/>
    <w:rsid w:val="008C7024"/>
    <w:rsid w:val="008D002D"/>
    <w:rsid w:val="008D019C"/>
    <w:rsid w:val="008D02AF"/>
    <w:rsid w:val="008D1ABE"/>
    <w:rsid w:val="008D2390"/>
    <w:rsid w:val="008D340A"/>
    <w:rsid w:val="008D39A8"/>
    <w:rsid w:val="008D4D7E"/>
    <w:rsid w:val="008D515A"/>
    <w:rsid w:val="008D60FB"/>
    <w:rsid w:val="008D6707"/>
    <w:rsid w:val="008D6D2D"/>
    <w:rsid w:val="008E02DA"/>
    <w:rsid w:val="008E0BCC"/>
    <w:rsid w:val="008E1111"/>
    <w:rsid w:val="008E14C8"/>
    <w:rsid w:val="008E1840"/>
    <w:rsid w:val="008E1F55"/>
    <w:rsid w:val="008E2B66"/>
    <w:rsid w:val="008E3158"/>
    <w:rsid w:val="008E3A05"/>
    <w:rsid w:val="008E3BE9"/>
    <w:rsid w:val="008E408E"/>
    <w:rsid w:val="008E5F82"/>
    <w:rsid w:val="008E631E"/>
    <w:rsid w:val="008E6F19"/>
    <w:rsid w:val="008E7317"/>
    <w:rsid w:val="008E7947"/>
    <w:rsid w:val="008F023F"/>
    <w:rsid w:val="008F0E06"/>
    <w:rsid w:val="008F141E"/>
    <w:rsid w:val="008F2565"/>
    <w:rsid w:val="008F6927"/>
    <w:rsid w:val="008F72C4"/>
    <w:rsid w:val="009005AF"/>
    <w:rsid w:val="00901660"/>
    <w:rsid w:val="00902919"/>
    <w:rsid w:val="00902D9E"/>
    <w:rsid w:val="00904705"/>
    <w:rsid w:val="00904B73"/>
    <w:rsid w:val="00904BE8"/>
    <w:rsid w:val="0090613B"/>
    <w:rsid w:val="0090680D"/>
    <w:rsid w:val="00907C3C"/>
    <w:rsid w:val="00907DD4"/>
    <w:rsid w:val="009109D8"/>
    <w:rsid w:val="009115FA"/>
    <w:rsid w:val="00912DD5"/>
    <w:rsid w:val="00913B70"/>
    <w:rsid w:val="00915D4E"/>
    <w:rsid w:val="00916D28"/>
    <w:rsid w:val="009170F4"/>
    <w:rsid w:val="009206FA"/>
    <w:rsid w:val="00920780"/>
    <w:rsid w:val="0092137D"/>
    <w:rsid w:val="0092214A"/>
    <w:rsid w:val="0092344C"/>
    <w:rsid w:val="00923BCA"/>
    <w:rsid w:val="00925140"/>
    <w:rsid w:val="0092661A"/>
    <w:rsid w:val="00926D65"/>
    <w:rsid w:val="0092763E"/>
    <w:rsid w:val="00927EBB"/>
    <w:rsid w:val="00927FE3"/>
    <w:rsid w:val="00930BF0"/>
    <w:rsid w:val="00932594"/>
    <w:rsid w:val="00932D03"/>
    <w:rsid w:val="00933FA4"/>
    <w:rsid w:val="00934C5C"/>
    <w:rsid w:val="00934CBB"/>
    <w:rsid w:val="00934DA2"/>
    <w:rsid w:val="00935AAA"/>
    <w:rsid w:val="009362FE"/>
    <w:rsid w:val="00941EBA"/>
    <w:rsid w:val="009424C8"/>
    <w:rsid w:val="00942FC8"/>
    <w:rsid w:val="009430FB"/>
    <w:rsid w:val="0094319C"/>
    <w:rsid w:val="009435FF"/>
    <w:rsid w:val="00944914"/>
    <w:rsid w:val="00944FE5"/>
    <w:rsid w:val="009463AE"/>
    <w:rsid w:val="0094671E"/>
    <w:rsid w:val="00946932"/>
    <w:rsid w:val="0094769C"/>
    <w:rsid w:val="00947916"/>
    <w:rsid w:val="0095179E"/>
    <w:rsid w:val="00952339"/>
    <w:rsid w:val="00952AD0"/>
    <w:rsid w:val="00952BDF"/>
    <w:rsid w:val="009531C0"/>
    <w:rsid w:val="00953337"/>
    <w:rsid w:val="0095537D"/>
    <w:rsid w:val="0095599B"/>
    <w:rsid w:val="00955F11"/>
    <w:rsid w:val="009563AD"/>
    <w:rsid w:val="00956B2E"/>
    <w:rsid w:val="0096002E"/>
    <w:rsid w:val="00961D1A"/>
    <w:rsid w:val="0096274E"/>
    <w:rsid w:val="00963565"/>
    <w:rsid w:val="009646C2"/>
    <w:rsid w:val="009650D3"/>
    <w:rsid w:val="009661C0"/>
    <w:rsid w:val="00966575"/>
    <w:rsid w:val="00966976"/>
    <w:rsid w:val="00970208"/>
    <w:rsid w:val="00970E32"/>
    <w:rsid w:val="0097181B"/>
    <w:rsid w:val="00971BB9"/>
    <w:rsid w:val="00971EC0"/>
    <w:rsid w:val="009725F5"/>
    <w:rsid w:val="00972E9B"/>
    <w:rsid w:val="0097306B"/>
    <w:rsid w:val="00973093"/>
    <w:rsid w:val="0097331C"/>
    <w:rsid w:val="009743EF"/>
    <w:rsid w:val="009743FA"/>
    <w:rsid w:val="009763E3"/>
    <w:rsid w:val="00976B36"/>
    <w:rsid w:val="0097745A"/>
    <w:rsid w:val="009807D9"/>
    <w:rsid w:val="00980B30"/>
    <w:rsid w:val="00980D11"/>
    <w:rsid w:val="00982CF1"/>
    <w:rsid w:val="0098387C"/>
    <w:rsid w:val="009839BA"/>
    <w:rsid w:val="00983B92"/>
    <w:rsid w:val="00983C11"/>
    <w:rsid w:val="00985576"/>
    <w:rsid w:val="0098700F"/>
    <w:rsid w:val="009875A4"/>
    <w:rsid w:val="009905DE"/>
    <w:rsid w:val="00991034"/>
    <w:rsid w:val="009919AF"/>
    <w:rsid w:val="00991C8D"/>
    <w:rsid w:val="00992140"/>
    <w:rsid w:val="009935F2"/>
    <w:rsid w:val="00993E61"/>
    <w:rsid w:val="00994096"/>
    <w:rsid w:val="00994EB2"/>
    <w:rsid w:val="0099502F"/>
    <w:rsid w:val="009962DA"/>
    <w:rsid w:val="0099755C"/>
    <w:rsid w:val="00997CFD"/>
    <w:rsid w:val="009A03E0"/>
    <w:rsid w:val="009A0F17"/>
    <w:rsid w:val="009A1473"/>
    <w:rsid w:val="009A1AC1"/>
    <w:rsid w:val="009A2303"/>
    <w:rsid w:val="009A4595"/>
    <w:rsid w:val="009A5BE6"/>
    <w:rsid w:val="009A640B"/>
    <w:rsid w:val="009B0413"/>
    <w:rsid w:val="009B1EB9"/>
    <w:rsid w:val="009B1F32"/>
    <w:rsid w:val="009B2138"/>
    <w:rsid w:val="009B24A1"/>
    <w:rsid w:val="009B2A0F"/>
    <w:rsid w:val="009B3E5D"/>
    <w:rsid w:val="009B4F6C"/>
    <w:rsid w:val="009B657B"/>
    <w:rsid w:val="009B65A4"/>
    <w:rsid w:val="009B6FD9"/>
    <w:rsid w:val="009B7252"/>
    <w:rsid w:val="009C09DE"/>
    <w:rsid w:val="009C166F"/>
    <w:rsid w:val="009C267A"/>
    <w:rsid w:val="009C2A07"/>
    <w:rsid w:val="009C32BF"/>
    <w:rsid w:val="009C4E01"/>
    <w:rsid w:val="009C51B6"/>
    <w:rsid w:val="009C5857"/>
    <w:rsid w:val="009C6F31"/>
    <w:rsid w:val="009C7F87"/>
    <w:rsid w:val="009D05B5"/>
    <w:rsid w:val="009D0DA6"/>
    <w:rsid w:val="009D1766"/>
    <w:rsid w:val="009D1DBB"/>
    <w:rsid w:val="009D3239"/>
    <w:rsid w:val="009D35E6"/>
    <w:rsid w:val="009D39FD"/>
    <w:rsid w:val="009D434A"/>
    <w:rsid w:val="009D435D"/>
    <w:rsid w:val="009D58F3"/>
    <w:rsid w:val="009D6736"/>
    <w:rsid w:val="009D6C64"/>
    <w:rsid w:val="009D6F6C"/>
    <w:rsid w:val="009E0F3C"/>
    <w:rsid w:val="009E1074"/>
    <w:rsid w:val="009E123C"/>
    <w:rsid w:val="009E2811"/>
    <w:rsid w:val="009E2DED"/>
    <w:rsid w:val="009E5A02"/>
    <w:rsid w:val="009E5BCC"/>
    <w:rsid w:val="009E6124"/>
    <w:rsid w:val="009F0BBC"/>
    <w:rsid w:val="009F107E"/>
    <w:rsid w:val="009F138B"/>
    <w:rsid w:val="009F19DD"/>
    <w:rsid w:val="009F1C1D"/>
    <w:rsid w:val="009F1F0E"/>
    <w:rsid w:val="009F2C55"/>
    <w:rsid w:val="009F3435"/>
    <w:rsid w:val="009F431F"/>
    <w:rsid w:val="009F4DB6"/>
    <w:rsid w:val="009F5715"/>
    <w:rsid w:val="009F5ACE"/>
    <w:rsid w:val="009F5E89"/>
    <w:rsid w:val="009F672B"/>
    <w:rsid w:val="009F6CA9"/>
    <w:rsid w:val="009F7B3E"/>
    <w:rsid w:val="00A000B0"/>
    <w:rsid w:val="00A004AF"/>
    <w:rsid w:val="00A004EA"/>
    <w:rsid w:val="00A00F95"/>
    <w:rsid w:val="00A0250B"/>
    <w:rsid w:val="00A031BC"/>
    <w:rsid w:val="00A03442"/>
    <w:rsid w:val="00A036B4"/>
    <w:rsid w:val="00A04552"/>
    <w:rsid w:val="00A04D3D"/>
    <w:rsid w:val="00A0566A"/>
    <w:rsid w:val="00A0587B"/>
    <w:rsid w:val="00A06C4B"/>
    <w:rsid w:val="00A07153"/>
    <w:rsid w:val="00A078F0"/>
    <w:rsid w:val="00A10D82"/>
    <w:rsid w:val="00A10F27"/>
    <w:rsid w:val="00A14F98"/>
    <w:rsid w:val="00A15DFF"/>
    <w:rsid w:val="00A166AC"/>
    <w:rsid w:val="00A17992"/>
    <w:rsid w:val="00A22485"/>
    <w:rsid w:val="00A228FC"/>
    <w:rsid w:val="00A22DDE"/>
    <w:rsid w:val="00A22F8A"/>
    <w:rsid w:val="00A24CAF"/>
    <w:rsid w:val="00A24E48"/>
    <w:rsid w:val="00A24F30"/>
    <w:rsid w:val="00A261D9"/>
    <w:rsid w:val="00A26F21"/>
    <w:rsid w:val="00A3221C"/>
    <w:rsid w:val="00A32735"/>
    <w:rsid w:val="00A332EA"/>
    <w:rsid w:val="00A3381E"/>
    <w:rsid w:val="00A34406"/>
    <w:rsid w:val="00A366E1"/>
    <w:rsid w:val="00A37357"/>
    <w:rsid w:val="00A40208"/>
    <w:rsid w:val="00A40D95"/>
    <w:rsid w:val="00A41001"/>
    <w:rsid w:val="00A418AD"/>
    <w:rsid w:val="00A43382"/>
    <w:rsid w:val="00A438E6"/>
    <w:rsid w:val="00A43CDB"/>
    <w:rsid w:val="00A44851"/>
    <w:rsid w:val="00A45087"/>
    <w:rsid w:val="00A458F9"/>
    <w:rsid w:val="00A4595B"/>
    <w:rsid w:val="00A45C89"/>
    <w:rsid w:val="00A463F0"/>
    <w:rsid w:val="00A50048"/>
    <w:rsid w:val="00A5059A"/>
    <w:rsid w:val="00A507F7"/>
    <w:rsid w:val="00A53303"/>
    <w:rsid w:val="00A537E9"/>
    <w:rsid w:val="00A5461E"/>
    <w:rsid w:val="00A54792"/>
    <w:rsid w:val="00A54BA1"/>
    <w:rsid w:val="00A5747A"/>
    <w:rsid w:val="00A57655"/>
    <w:rsid w:val="00A601EE"/>
    <w:rsid w:val="00A61B3D"/>
    <w:rsid w:val="00A62EFA"/>
    <w:rsid w:val="00A67036"/>
    <w:rsid w:val="00A701E6"/>
    <w:rsid w:val="00A708A5"/>
    <w:rsid w:val="00A712FF"/>
    <w:rsid w:val="00A71554"/>
    <w:rsid w:val="00A754BC"/>
    <w:rsid w:val="00A77413"/>
    <w:rsid w:val="00A8030C"/>
    <w:rsid w:val="00A80F31"/>
    <w:rsid w:val="00A8294F"/>
    <w:rsid w:val="00A82BAA"/>
    <w:rsid w:val="00A82ED5"/>
    <w:rsid w:val="00A84ACE"/>
    <w:rsid w:val="00A84C0C"/>
    <w:rsid w:val="00A85AC3"/>
    <w:rsid w:val="00A86473"/>
    <w:rsid w:val="00A86C8C"/>
    <w:rsid w:val="00A874E6"/>
    <w:rsid w:val="00A87A26"/>
    <w:rsid w:val="00A87FF3"/>
    <w:rsid w:val="00A9011D"/>
    <w:rsid w:val="00A90216"/>
    <w:rsid w:val="00A90BC9"/>
    <w:rsid w:val="00A90C16"/>
    <w:rsid w:val="00A91489"/>
    <w:rsid w:val="00A918B3"/>
    <w:rsid w:val="00A91B69"/>
    <w:rsid w:val="00A92DDB"/>
    <w:rsid w:val="00A96866"/>
    <w:rsid w:val="00AA058A"/>
    <w:rsid w:val="00AA341B"/>
    <w:rsid w:val="00AA38B4"/>
    <w:rsid w:val="00AA45E0"/>
    <w:rsid w:val="00AA64AC"/>
    <w:rsid w:val="00AA69B0"/>
    <w:rsid w:val="00AA776C"/>
    <w:rsid w:val="00AB0ADC"/>
    <w:rsid w:val="00AB0BB6"/>
    <w:rsid w:val="00AB1151"/>
    <w:rsid w:val="00AB1769"/>
    <w:rsid w:val="00AB1A38"/>
    <w:rsid w:val="00AB1FBA"/>
    <w:rsid w:val="00AB2985"/>
    <w:rsid w:val="00AB2E55"/>
    <w:rsid w:val="00AB42AC"/>
    <w:rsid w:val="00AB4352"/>
    <w:rsid w:val="00AB472E"/>
    <w:rsid w:val="00AB4806"/>
    <w:rsid w:val="00AB5C0F"/>
    <w:rsid w:val="00AB5D0F"/>
    <w:rsid w:val="00AC0330"/>
    <w:rsid w:val="00AC0F89"/>
    <w:rsid w:val="00AC431A"/>
    <w:rsid w:val="00AC48EA"/>
    <w:rsid w:val="00AC49D2"/>
    <w:rsid w:val="00AC5BCA"/>
    <w:rsid w:val="00AC5D11"/>
    <w:rsid w:val="00AC64F8"/>
    <w:rsid w:val="00AC6860"/>
    <w:rsid w:val="00AC6E98"/>
    <w:rsid w:val="00AC72D5"/>
    <w:rsid w:val="00AD0270"/>
    <w:rsid w:val="00AD0925"/>
    <w:rsid w:val="00AD0C57"/>
    <w:rsid w:val="00AD0D00"/>
    <w:rsid w:val="00AD0F2B"/>
    <w:rsid w:val="00AD13C7"/>
    <w:rsid w:val="00AD2426"/>
    <w:rsid w:val="00AD320D"/>
    <w:rsid w:val="00AD34B4"/>
    <w:rsid w:val="00AD37EE"/>
    <w:rsid w:val="00AD593C"/>
    <w:rsid w:val="00AD645A"/>
    <w:rsid w:val="00AD64E6"/>
    <w:rsid w:val="00AD6B01"/>
    <w:rsid w:val="00AD7477"/>
    <w:rsid w:val="00AE0A35"/>
    <w:rsid w:val="00AE1087"/>
    <w:rsid w:val="00AE125A"/>
    <w:rsid w:val="00AE1B7D"/>
    <w:rsid w:val="00AE1C2A"/>
    <w:rsid w:val="00AE285D"/>
    <w:rsid w:val="00AE3F8D"/>
    <w:rsid w:val="00AE45B3"/>
    <w:rsid w:val="00AE5E3A"/>
    <w:rsid w:val="00AE6BE2"/>
    <w:rsid w:val="00AE7A1A"/>
    <w:rsid w:val="00AE7B34"/>
    <w:rsid w:val="00AF03CA"/>
    <w:rsid w:val="00AF1BF8"/>
    <w:rsid w:val="00AF4650"/>
    <w:rsid w:val="00AF4E16"/>
    <w:rsid w:val="00AF5EC3"/>
    <w:rsid w:val="00AF65F7"/>
    <w:rsid w:val="00AF7562"/>
    <w:rsid w:val="00AF76B5"/>
    <w:rsid w:val="00B001B9"/>
    <w:rsid w:val="00B01AE6"/>
    <w:rsid w:val="00B02F71"/>
    <w:rsid w:val="00B03439"/>
    <w:rsid w:val="00B03D3B"/>
    <w:rsid w:val="00B03E83"/>
    <w:rsid w:val="00B044A6"/>
    <w:rsid w:val="00B05D34"/>
    <w:rsid w:val="00B06692"/>
    <w:rsid w:val="00B06999"/>
    <w:rsid w:val="00B116F3"/>
    <w:rsid w:val="00B1193D"/>
    <w:rsid w:val="00B1241D"/>
    <w:rsid w:val="00B13234"/>
    <w:rsid w:val="00B13284"/>
    <w:rsid w:val="00B13485"/>
    <w:rsid w:val="00B13C8F"/>
    <w:rsid w:val="00B14DC0"/>
    <w:rsid w:val="00B15652"/>
    <w:rsid w:val="00B15787"/>
    <w:rsid w:val="00B1711A"/>
    <w:rsid w:val="00B176EC"/>
    <w:rsid w:val="00B20C7F"/>
    <w:rsid w:val="00B2168B"/>
    <w:rsid w:val="00B22741"/>
    <w:rsid w:val="00B22782"/>
    <w:rsid w:val="00B22C44"/>
    <w:rsid w:val="00B23EC5"/>
    <w:rsid w:val="00B24018"/>
    <w:rsid w:val="00B2589B"/>
    <w:rsid w:val="00B25E54"/>
    <w:rsid w:val="00B26B96"/>
    <w:rsid w:val="00B278D3"/>
    <w:rsid w:val="00B30113"/>
    <w:rsid w:val="00B30181"/>
    <w:rsid w:val="00B3174D"/>
    <w:rsid w:val="00B31CFF"/>
    <w:rsid w:val="00B31E4B"/>
    <w:rsid w:val="00B3266A"/>
    <w:rsid w:val="00B33106"/>
    <w:rsid w:val="00B33AB7"/>
    <w:rsid w:val="00B3424C"/>
    <w:rsid w:val="00B343B7"/>
    <w:rsid w:val="00B3527A"/>
    <w:rsid w:val="00B356E9"/>
    <w:rsid w:val="00B367FB"/>
    <w:rsid w:val="00B369FD"/>
    <w:rsid w:val="00B37A32"/>
    <w:rsid w:val="00B4060E"/>
    <w:rsid w:val="00B42484"/>
    <w:rsid w:val="00B4591E"/>
    <w:rsid w:val="00B46B0A"/>
    <w:rsid w:val="00B46F46"/>
    <w:rsid w:val="00B4712A"/>
    <w:rsid w:val="00B50A75"/>
    <w:rsid w:val="00B50D51"/>
    <w:rsid w:val="00B50EDB"/>
    <w:rsid w:val="00B523CC"/>
    <w:rsid w:val="00B53714"/>
    <w:rsid w:val="00B53FF5"/>
    <w:rsid w:val="00B57893"/>
    <w:rsid w:val="00B60A3D"/>
    <w:rsid w:val="00B61745"/>
    <w:rsid w:val="00B61EC8"/>
    <w:rsid w:val="00B6237D"/>
    <w:rsid w:val="00B62654"/>
    <w:rsid w:val="00B62DEE"/>
    <w:rsid w:val="00B638BD"/>
    <w:rsid w:val="00B65952"/>
    <w:rsid w:val="00B65A1F"/>
    <w:rsid w:val="00B660D5"/>
    <w:rsid w:val="00B663C6"/>
    <w:rsid w:val="00B66EC7"/>
    <w:rsid w:val="00B6795E"/>
    <w:rsid w:val="00B701C8"/>
    <w:rsid w:val="00B70AEE"/>
    <w:rsid w:val="00B70F9A"/>
    <w:rsid w:val="00B710A2"/>
    <w:rsid w:val="00B7147D"/>
    <w:rsid w:val="00B71791"/>
    <w:rsid w:val="00B7183A"/>
    <w:rsid w:val="00B72245"/>
    <w:rsid w:val="00B74F5C"/>
    <w:rsid w:val="00B75DF4"/>
    <w:rsid w:val="00B76026"/>
    <w:rsid w:val="00B77EA9"/>
    <w:rsid w:val="00B80B7E"/>
    <w:rsid w:val="00B81368"/>
    <w:rsid w:val="00B84F20"/>
    <w:rsid w:val="00B85038"/>
    <w:rsid w:val="00B855FF"/>
    <w:rsid w:val="00B85AB8"/>
    <w:rsid w:val="00B86DCE"/>
    <w:rsid w:val="00B913D4"/>
    <w:rsid w:val="00B91661"/>
    <w:rsid w:val="00B91C07"/>
    <w:rsid w:val="00B949CA"/>
    <w:rsid w:val="00B94B30"/>
    <w:rsid w:val="00B9511A"/>
    <w:rsid w:val="00BA008D"/>
    <w:rsid w:val="00BA0ABC"/>
    <w:rsid w:val="00BA0E7F"/>
    <w:rsid w:val="00BA2387"/>
    <w:rsid w:val="00BA3668"/>
    <w:rsid w:val="00BA3974"/>
    <w:rsid w:val="00BA6B4D"/>
    <w:rsid w:val="00BA7B0B"/>
    <w:rsid w:val="00BA7FDD"/>
    <w:rsid w:val="00BB014F"/>
    <w:rsid w:val="00BB03AC"/>
    <w:rsid w:val="00BB1123"/>
    <w:rsid w:val="00BB22D7"/>
    <w:rsid w:val="00BB2514"/>
    <w:rsid w:val="00BB27DE"/>
    <w:rsid w:val="00BB2A1F"/>
    <w:rsid w:val="00BB3017"/>
    <w:rsid w:val="00BB48E8"/>
    <w:rsid w:val="00BB4A1F"/>
    <w:rsid w:val="00BB68A0"/>
    <w:rsid w:val="00BB6DDD"/>
    <w:rsid w:val="00BB6E6C"/>
    <w:rsid w:val="00BC1223"/>
    <w:rsid w:val="00BC2235"/>
    <w:rsid w:val="00BC277F"/>
    <w:rsid w:val="00BC2830"/>
    <w:rsid w:val="00BC354C"/>
    <w:rsid w:val="00BC3A0E"/>
    <w:rsid w:val="00BC4493"/>
    <w:rsid w:val="00BC4F8C"/>
    <w:rsid w:val="00BC6DBF"/>
    <w:rsid w:val="00BC7AB8"/>
    <w:rsid w:val="00BC7F67"/>
    <w:rsid w:val="00BD2F96"/>
    <w:rsid w:val="00BD3114"/>
    <w:rsid w:val="00BD38F1"/>
    <w:rsid w:val="00BD41BA"/>
    <w:rsid w:val="00BD4F1A"/>
    <w:rsid w:val="00BD6023"/>
    <w:rsid w:val="00BD65FA"/>
    <w:rsid w:val="00BD6CAE"/>
    <w:rsid w:val="00BD70FD"/>
    <w:rsid w:val="00BD7466"/>
    <w:rsid w:val="00BD7788"/>
    <w:rsid w:val="00BE1E15"/>
    <w:rsid w:val="00BE1F25"/>
    <w:rsid w:val="00BE236E"/>
    <w:rsid w:val="00BE361D"/>
    <w:rsid w:val="00BE5947"/>
    <w:rsid w:val="00BE6E18"/>
    <w:rsid w:val="00BE6F48"/>
    <w:rsid w:val="00BE73E6"/>
    <w:rsid w:val="00BE7469"/>
    <w:rsid w:val="00BE77CE"/>
    <w:rsid w:val="00BF1707"/>
    <w:rsid w:val="00BF3724"/>
    <w:rsid w:val="00BF4F42"/>
    <w:rsid w:val="00BF5579"/>
    <w:rsid w:val="00BF63F2"/>
    <w:rsid w:val="00BF6B9C"/>
    <w:rsid w:val="00BF6CBA"/>
    <w:rsid w:val="00BF7A55"/>
    <w:rsid w:val="00BF7D32"/>
    <w:rsid w:val="00C00568"/>
    <w:rsid w:val="00C009B0"/>
    <w:rsid w:val="00C00FC6"/>
    <w:rsid w:val="00C01306"/>
    <w:rsid w:val="00C013BE"/>
    <w:rsid w:val="00C01AB4"/>
    <w:rsid w:val="00C01CAC"/>
    <w:rsid w:val="00C02C18"/>
    <w:rsid w:val="00C035E6"/>
    <w:rsid w:val="00C03EFB"/>
    <w:rsid w:val="00C04E59"/>
    <w:rsid w:val="00C057C8"/>
    <w:rsid w:val="00C06AD0"/>
    <w:rsid w:val="00C06B4F"/>
    <w:rsid w:val="00C06CC1"/>
    <w:rsid w:val="00C0723D"/>
    <w:rsid w:val="00C107A2"/>
    <w:rsid w:val="00C11241"/>
    <w:rsid w:val="00C115AB"/>
    <w:rsid w:val="00C13030"/>
    <w:rsid w:val="00C13D47"/>
    <w:rsid w:val="00C2119D"/>
    <w:rsid w:val="00C21317"/>
    <w:rsid w:val="00C218FD"/>
    <w:rsid w:val="00C22434"/>
    <w:rsid w:val="00C226A6"/>
    <w:rsid w:val="00C2280A"/>
    <w:rsid w:val="00C2288F"/>
    <w:rsid w:val="00C22A9D"/>
    <w:rsid w:val="00C230ED"/>
    <w:rsid w:val="00C253C0"/>
    <w:rsid w:val="00C266FB"/>
    <w:rsid w:val="00C302FA"/>
    <w:rsid w:val="00C30ACC"/>
    <w:rsid w:val="00C31157"/>
    <w:rsid w:val="00C31CFE"/>
    <w:rsid w:val="00C32900"/>
    <w:rsid w:val="00C33439"/>
    <w:rsid w:val="00C3450B"/>
    <w:rsid w:val="00C346F0"/>
    <w:rsid w:val="00C34A2A"/>
    <w:rsid w:val="00C363FE"/>
    <w:rsid w:val="00C3715B"/>
    <w:rsid w:val="00C374B8"/>
    <w:rsid w:val="00C37820"/>
    <w:rsid w:val="00C37892"/>
    <w:rsid w:val="00C40A84"/>
    <w:rsid w:val="00C41759"/>
    <w:rsid w:val="00C41788"/>
    <w:rsid w:val="00C41F1A"/>
    <w:rsid w:val="00C4285E"/>
    <w:rsid w:val="00C441CD"/>
    <w:rsid w:val="00C44B93"/>
    <w:rsid w:val="00C46821"/>
    <w:rsid w:val="00C46C0A"/>
    <w:rsid w:val="00C46E22"/>
    <w:rsid w:val="00C47B07"/>
    <w:rsid w:val="00C50BFF"/>
    <w:rsid w:val="00C51145"/>
    <w:rsid w:val="00C51E4E"/>
    <w:rsid w:val="00C52101"/>
    <w:rsid w:val="00C52F97"/>
    <w:rsid w:val="00C538E2"/>
    <w:rsid w:val="00C540D4"/>
    <w:rsid w:val="00C54565"/>
    <w:rsid w:val="00C54B30"/>
    <w:rsid w:val="00C54C6D"/>
    <w:rsid w:val="00C551B8"/>
    <w:rsid w:val="00C556DD"/>
    <w:rsid w:val="00C557E9"/>
    <w:rsid w:val="00C567B8"/>
    <w:rsid w:val="00C570BE"/>
    <w:rsid w:val="00C57CCD"/>
    <w:rsid w:val="00C60399"/>
    <w:rsid w:val="00C61402"/>
    <w:rsid w:val="00C62966"/>
    <w:rsid w:val="00C629BB"/>
    <w:rsid w:val="00C62F75"/>
    <w:rsid w:val="00C631BF"/>
    <w:rsid w:val="00C63BEC"/>
    <w:rsid w:val="00C648E3"/>
    <w:rsid w:val="00C66195"/>
    <w:rsid w:val="00C7250B"/>
    <w:rsid w:val="00C7341E"/>
    <w:rsid w:val="00C7442A"/>
    <w:rsid w:val="00C74A31"/>
    <w:rsid w:val="00C7677A"/>
    <w:rsid w:val="00C76CA7"/>
    <w:rsid w:val="00C77345"/>
    <w:rsid w:val="00C809C6"/>
    <w:rsid w:val="00C80DAE"/>
    <w:rsid w:val="00C82E91"/>
    <w:rsid w:val="00C83B48"/>
    <w:rsid w:val="00C84242"/>
    <w:rsid w:val="00C84909"/>
    <w:rsid w:val="00C84C1A"/>
    <w:rsid w:val="00C85625"/>
    <w:rsid w:val="00C85921"/>
    <w:rsid w:val="00C85CEE"/>
    <w:rsid w:val="00C86454"/>
    <w:rsid w:val="00C86778"/>
    <w:rsid w:val="00C87054"/>
    <w:rsid w:val="00C87F21"/>
    <w:rsid w:val="00C9030C"/>
    <w:rsid w:val="00C90448"/>
    <w:rsid w:val="00C9082D"/>
    <w:rsid w:val="00C9093E"/>
    <w:rsid w:val="00C90F92"/>
    <w:rsid w:val="00C92372"/>
    <w:rsid w:val="00C92AA8"/>
    <w:rsid w:val="00C930D1"/>
    <w:rsid w:val="00C9478E"/>
    <w:rsid w:val="00C94E47"/>
    <w:rsid w:val="00C955D0"/>
    <w:rsid w:val="00C96F10"/>
    <w:rsid w:val="00C975D0"/>
    <w:rsid w:val="00CA0F92"/>
    <w:rsid w:val="00CA1828"/>
    <w:rsid w:val="00CA1CED"/>
    <w:rsid w:val="00CA3790"/>
    <w:rsid w:val="00CA3AEF"/>
    <w:rsid w:val="00CA435B"/>
    <w:rsid w:val="00CA52B4"/>
    <w:rsid w:val="00CA5853"/>
    <w:rsid w:val="00CA5A64"/>
    <w:rsid w:val="00CA5DA3"/>
    <w:rsid w:val="00CA71D3"/>
    <w:rsid w:val="00CA75A8"/>
    <w:rsid w:val="00CB0456"/>
    <w:rsid w:val="00CB0C59"/>
    <w:rsid w:val="00CB10D3"/>
    <w:rsid w:val="00CB16B6"/>
    <w:rsid w:val="00CB2A3B"/>
    <w:rsid w:val="00CB399E"/>
    <w:rsid w:val="00CB3ACC"/>
    <w:rsid w:val="00CB4B8E"/>
    <w:rsid w:val="00CB572F"/>
    <w:rsid w:val="00CB57F4"/>
    <w:rsid w:val="00CC09E3"/>
    <w:rsid w:val="00CC11DA"/>
    <w:rsid w:val="00CC1E46"/>
    <w:rsid w:val="00CC2971"/>
    <w:rsid w:val="00CC38FA"/>
    <w:rsid w:val="00CC3E02"/>
    <w:rsid w:val="00CC57BF"/>
    <w:rsid w:val="00CC59F7"/>
    <w:rsid w:val="00CC66FF"/>
    <w:rsid w:val="00CC6BC6"/>
    <w:rsid w:val="00CC6F9A"/>
    <w:rsid w:val="00CC743F"/>
    <w:rsid w:val="00CC7D10"/>
    <w:rsid w:val="00CD00F0"/>
    <w:rsid w:val="00CD25C8"/>
    <w:rsid w:val="00CD2EBD"/>
    <w:rsid w:val="00CD2F58"/>
    <w:rsid w:val="00CD2FAB"/>
    <w:rsid w:val="00CD33E1"/>
    <w:rsid w:val="00CD4155"/>
    <w:rsid w:val="00CD50B5"/>
    <w:rsid w:val="00CD5593"/>
    <w:rsid w:val="00CD58B8"/>
    <w:rsid w:val="00CD5B0F"/>
    <w:rsid w:val="00CD6EDC"/>
    <w:rsid w:val="00CD7103"/>
    <w:rsid w:val="00CD7847"/>
    <w:rsid w:val="00CE008C"/>
    <w:rsid w:val="00CE01F3"/>
    <w:rsid w:val="00CE2605"/>
    <w:rsid w:val="00CE275D"/>
    <w:rsid w:val="00CE3B8C"/>
    <w:rsid w:val="00CE5731"/>
    <w:rsid w:val="00CE59BC"/>
    <w:rsid w:val="00CE59CF"/>
    <w:rsid w:val="00CE6149"/>
    <w:rsid w:val="00CE666D"/>
    <w:rsid w:val="00CF08FF"/>
    <w:rsid w:val="00CF09EB"/>
    <w:rsid w:val="00CF167B"/>
    <w:rsid w:val="00CF1738"/>
    <w:rsid w:val="00CF2EEF"/>
    <w:rsid w:val="00CF3851"/>
    <w:rsid w:val="00CF4C7E"/>
    <w:rsid w:val="00CF6BAB"/>
    <w:rsid w:val="00CF7E7A"/>
    <w:rsid w:val="00D001B3"/>
    <w:rsid w:val="00D00EDA"/>
    <w:rsid w:val="00D0247F"/>
    <w:rsid w:val="00D02878"/>
    <w:rsid w:val="00D03D70"/>
    <w:rsid w:val="00D03E83"/>
    <w:rsid w:val="00D05069"/>
    <w:rsid w:val="00D056A5"/>
    <w:rsid w:val="00D060A1"/>
    <w:rsid w:val="00D060E9"/>
    <w:rsid w:val="00D0751E"/>
    <w:rsid w:val="00D114FA"/>
    <w:rsid w:val="00D11765"/>
    <w:rsid w:val="00D12571"/>
    <w:rsid w:val="00D1295C"/>
    <w:rsid w:val="00D12EF5"/>
    <w:rsid w:val="00D13614"/>
    <w:rsid w:val="00D13719"/>
    <w:rsid w:val="00D14B18"/>
    <w:rsid w:val="00D14EC4"/>
    <w:rsid w:val="00D15DFE"/>
    <w:rsid w:val="00D1705D"/>
    <w:rsid w:val="00D17C66"/>
    <w:rsid w:val="00D20E9A"/>
    <w:rsid w:val="00D214CA"/>
    <w:rsid w:val="00D215A4"/>
    <w:rsid w:val="00D220ED"/>
    <w:rsid w:val="00D22D1D"/>
    <w:rsid w:val="00D243ED"/>
    <w:rsid w:val="00D2463B"/>
    <w:rsid w:val="00D247A5"/>
    <w:rsid w:val="00D24C3A"/>
    <w:rsid w:val="00D25081"/>
    <w:rsid w:val="00D25EDF"/>
    <w:rsid w:val="00D268FF"/>
    <w:rsid w:val="00D274DA"/>
    <w:rsid w:val="00D277AC"/>
    <w:rsid w:val="00D27FAE"/>
    <w:rsid w:val="00D3009D"/>
    <w:rsid w:val="00D3202D"/>
    <w:rsid w:val="00D3220D"/>
    <w:rsid w:val="00D323A5"/>
    <w:rsid w:val="00D325F7"/>
    <w:rsid w:val="00D339AB"/>
    <w:rsid w:val="00D33E7E"/>
    <w:rsid w:val="00D349FF"/>
    <w:rsid w:val="00D359A0"/>
    <w:rsid w:val="00D36852"/>
    <w:rsid w:val="00D36E9B"/>
    <w:rsid w:val="00D36ECB"/>
    <w:rsid w:val="00D41470"/>
    <w:rsid w:val="00D414F3"/>
    <w:rsid w:val="00D4185F"/>
    <w:rsid w:val="00D41D8C"/>
    <w:rsid w:val="00D4249B"/>
    <w:rsid w:val="00D46CAF"/>
    <w:rsid w:val="00D477FF"/>
    <w:rsid w:val="00D4781C"/>
    <w:rsid w:val="00D501DC"/>
    <w:rsid w:val="00D5097F"/>
    <w:rsid w:val="00D50CDE"/>
    <w:rsid w:val="00D5161E"/>
    <w:rsid w:val="00D534DD"/>
    <w:rsid w:val="00D541BE"/>
    <w:rsid w:val="00D54A9B"/>
    <w:rsid w:val="00D54B8A"/>
    <w:rsid w:val="00D5544E"/>
    <w:rsid w:val="00D5589B"/>
    <w:rsid w:val="00D55ADA"/>
    <w:rsid w:val="00D566C6"/>
    <w:rsid w:val="00D567FC"/>
    <w:rsid w:val="00D56DD9"/>
    <w:rsid w:val="00D56E45"/>
    <w:rsid w:val="00D6057B"/>
    <w:rsid w:val="00D60CF9"/>
    <w:rsid w:val="00D64010"/>
    <w:rsid w:val="00D64FFB"/>
    <w:rsid w:val="00D650DE"/>
    <w:rsid w:val="00D659F7"/>
    <w:rsid w:val="00D65D37"/>
    <w:rsid w:val="00D661AF"/>
    <w:rsid w:val="00D66C00"/>
    <w:rsid w:val="00D67570"/>
    <w:rsid w:val="00D67991"/>
    <w:rsid w:val="00D71830"/>
    <w:rsid w:val="00D727EA"/>
    <w:rsid w:val="00D729EB"/>
    <w:rsid w:val="00D73C66"/>
    <w:rsid w:val="00D73ED2"/>
    <w:rsid w:val="00D74C2C"/>
    <w:rsid w:val="00D752A1"/>
    <w:rsid w:val="00D756A1"/>
    <w:rsid w:val="00D76865"/>
    <w:rsid w:val="00D77717"/>
    <w:rsid w:val="00D80935"/>
    <w:rsid w:val="00D8195B"/>
    <w:rsid w:val="00D829DF"/>
    <w:rsid w:val="00D83423"/>
    <w:rsid w:val="00D8441A"/>
    <w:rsid w:val="00D845AA"/>
    <w:rsid w:val="00D84C7B"/>
    <w:rsid w:val="00D853D1"/>
    <w:rsid w:val="00D86097"/>
    <w:rsid w:val="00D87201"/>
    <w:rsid w:val="00D87D9A"/>
    <w:rsid w:val="00D909E6"/>
    <w:rsid w:val="00D90A65"/>
    <w:rsid w:val="00D922AF"/>
    <w:rsid w:val="00D9242E"/>
    <w:rsid w:val="00D92A38"/>
    <w:rsid w:val="00D92BC4"/>
    <w:rsid w:val="00D92DB1"/>
    <w:rsid w:val="00D94EEB"/>
    <w:rsid w:val="00D95EEF"/>
    <w:rsid w:val="00D9711A"/>
    <w:rsid w:val="00DA1763"/>
    <w:rsid w:val="00DA2F94"/>
    <w:rsid w:val="00DA2FD1"/>
    <w:rsid w:val="00DA33D3"/>
    <w:rsid w:val="00DA39E5"/>
    <w:rsid w:val="00DA4255"/>
    <w:rsid w:val="00DA4BC1"/>
    <w:rsid w:val="00DA52AF"/>
    <w:rsid w:val="00DA597E"/>
    <w:rsid w:val="00DA6963"/>
    <w:rsid w:val="00DA72B3"/>
    <w:rsid w:val="00DA7C43"/>
    <w:rsid w:val="00DB048D"/>
    <w:rsid w:val="00DB626A"/>
    <w:rsid w:val="00DB6749"/>
    <w:rsid w:val="00DB6AC0"/>
    <w:rsid w:val="00DB7BC9"/>
    <w:rsid w:val="00DB7E0B"/>
    <w:rsid w:val="00DC295B"/>
    <w:rsid w:val="00DC2FAA"/>
    <w:rsid w:val="00DC415F"/>
    <w:rsid w:val="00DC5946"/>
    <w:rsid w:val="00DC5A9F"/>
    <w:rsid w:val="00DC5BEC"/>
    <w:rsid w:val="00DC6ECF"/>
    <w:rsid w:val="00DD0481"/>
    <w:rsid w:val="00DD055E"/>
    <w:rsid w:val="00DD062C"/>
    <w:rsid w:val="00DD069E"/>
    <w:rsid w:val="00DD11DA"/>
    <w:rsid w:val="00DD34FA"/>
    <w:rsid w:val="00DD3618"/>
    <w:rsid w:val="00DD4700"/>
    <w:rsid w:val="00DD5149"/>
    <w:rsid w:val="00DD5158"/>
    <w:rsid w:val="00DD5DAF"/>
    <w:rsid w:val="00DD68CC"/>
    <w:rsid w:val="00DD6BD0"/>
    <w:rsid w:val="00DD74C0"/>
    <w:rsid w:val="00DD784C"/>
    <w:rsid w:val="00DE4117"/>
    <w:rsid w:val="00DE44FC"/>
    <w:rsid w:val="00DE5D20"/>
    <w:rsid w:val="00DE61F4"/>
    <w:rsid w:val="00DE62F2"/>
    <w:rsid w:val="00DE6E5C"/>
    <w:rsid w:val="00DE7149"/>
    <w:rsid w:val="00DF08C1"/>
    <w:rsid w:val="00DF0F1D"/>
    <w:rsid w:val="00DF24EE"/>
    <w:rsid w:val="00DF2CBA"/>
    <w:rsid w:val="00DF3F70"/>
    <w:rsid w:val="00DF42A8"/>
    <w:rsid w:val="00DF58F2"/>
    <w:rsid w:val="00DF5B45"/>
    <w:rsid w:val="00DF67FA"/>
    <w:rsid w:val="00DF68AE"/>
    <w:rsid w:val="00E03476"/>
    <w:rsid w:val="00E04011"/>
    <w:rsid w:val="00E0457A"/>
    <w:rsid w:val="00E04BDC"/>
    <w:rsid w:val="00E069D2"/>
    <w:rsid w:val="00E117BD"/>
    <w:rsid w:val="00E11B3E"/>
    <w:rsid w:val="00E12711"/>
    <w:rsid w:val="00E12F2F"/>
    <w:rsid w:val="00E12F67"/>
    <w:rsid w:val="00E1410E"/>
    <w:rsid w:val="00E14390"/>
    <w:rsid w:val="00E1525A"/>
    <w:rsid w:val="00E160F3"/>
    <w:rsid w:val="00E1656A"/>
    <w:rsid w:val="00E17D3B"/>
    <w:rsid w:val="00E17EC1"/>
    <w:rsid w:val="00E20BF7"/>
    <w:rsid w:val="00E20E8E"/>
    <w:rsid w:val="00E20F4F"/>
    <w:rsid w:val="00E2125D"/>
    <w:rsid w:val="00E21E84"/>
    <w:rsid w:val="00E22895"/>
    <w:rsid w:val="00E237B3"/>
    <w:rsid w:val="00E239E6"/>
    <w:rsid w:val="00E23A93"/>
    <w:rsid w:val="00E23DFE"/>
    <w:rsid w:val="00E24949"/>
    <w:rsid w:val="00E2555D"/>
    <w:rsid w:val="00E26319"/>
    <w:rsid w:val="00E26FFE"/>
    <w:rsid w:val="00E276D4"/>
    <w:rsid w:val="00E277C9"/>
    <w:rsid w:val="00E27F2D"/>
    <w:rsid w:val="00E3087C"/>
    <w:rsid w:val="00E32513"/>
    <w:rsid w:val="00E3423E"/>
    <w:rsid w:val="00E34C4B"/>
    <w:rsid w:val="00E35618"/>
    <w:rsid w:val="00E36BFD"/>
    <w:rsid w:val="00E36F52"/>
    <w:rsid w:val="00E41278"/>
    <w:rsid w:val="00E4205C"/>
    <w:rsid w:val="00E4228C"/>
    <w:rsid w:val="00E4328E"/>
    <w:rsid w:val="00E44018"/>
    <w:rsid w:val="00E4449C"/>
    <w:rsid w:val="00E4454D"/>
    <w:rsid w:val="00E4656A"/>
    <w:rsid w:val="00E5053E"/>
    <w:rsid w:val="00E505D4"/>
    <w:rsid w:val="00E522F1"/>
    <w:rsid w:val="00E53E9E"/>
    <w:rsid w:val="00E55C26"/>
    <w:rsid w:val="00E5665C"/>
    <w:rsid w:val="00E56BF7"/>
    <w:rsid w:val="00E56D15"/>
    <w:rsid w:val="00E615F2"/>
    <w:rsid w:val="00E61C4B"/>
    <w:rsid w:val="00E61EB4"/>
    <w:rsid w:val="00E62104"/>
    <w:rsid w:val="00E62273"/>
    <w:rsid w:val="00E62498"/>
    <w:rsid w:val="00E62507"/>
    <w:rsid w:val="00E63094"/>
    <w:rsid w:val="00E633AC"/>
    <w:rsid w:val="00E63451"/>
    <w:rsid w:val="00E644CB"/>
    <w:rsid w:val="00E64914"/>
    <w:rsid w:val="00E6493D"/>
    <w:rsid w:val="00E673F6"/>
    <w:rsid w:val="00E7068E"/>
    <w:rsid w:val="00E70902"/>
    <w:rsid w:val="00E737C1"/>
    <w:rsid w:val="00E74328"/>
    <w:rsid w:val="00E74E99"/>
    <w:rsid w:val="00E75525"/>
    <w:rsid w:val="00E75926"/>
    <w:rsid w:val="00E77A17"/>
    <w:rsid w:val="00E801DF"/>
    <w:rsid w:val="00E80232"/>
    <w:rsid w:val="00E802E2"/>
    <w:rsid w:val="00E822D1"/>
    <w:rsid w:val="00E82F65"/>
    <w:rsid w:val="00E851EF"/>
    <w:rsid w:val="00E8694A"/>
    <w:rsid w:val="00E86BBF"/>
    <w:rsid w:val="00E90C08"/>
    <w:rsid w:val="00E90E13"/>
    <w:rsid w:val="00E92A36"/>
    <w:rsid w:val="00E92C31"/>
    <w:rsid w:val="00E93CF4"/>
    <w:rsid w:val="00E94E95"/>
    <w:rsid w:val="00E951E7"/>
    <w:rsid w:val="00E974C3"/>
    <w:rsid w:val="00EA00CC"/>
    <w:rsid w:val="00EA0404"/>
    <w:rsid w:val="00EA05DC"/>
    <w:rsid w:val="00EA0647"/>
    <w:rsid w:val="00EA094F"/>
    <w:rsid w:val="00EA1869"/>
    <w:rsid w:val="00EA1F3B"/>
    <w:rsid w:val="00EA2260"/>
    <w:rsid w:val="00EA32AF"/>
    <w:rsid w:val="00EA3B50"/>
    <w:rsid w:val="00EA40E4"/>
    <w:rsid w:val="00EA4BE1"/>
    <w:rsid w:val="00EA5578"/>
    <w:rsid w:val="00EA56FE"/>
    <w:rsid w:val="00EA5FCC"/>
    <w:rsid w:val="00EA62AD"/>
    <w:rsid w:val="00EB0918"/>
    <w:rsid w:val="00EB1743"/>
    <w:rsid w:val="00EB18AE"/>
    <w:rsid w:val="00EB2052"/>
    <w:rsid w:val="00EB2BE4"/>
    <w:rsid w:val="00EB2E1E"/>
    <w:rsid w:val="00EB3691"/>
    <w:rsid w:val="00EB5944"/>
    <w:rsid w:val="00EB68D7"/>
    <w:rsid w:val="00EB6D89"/>
    <w:rsid w:val="00EB6FBF"/>
    <w:rsid w:val="00EB70C6"/>
    <w:rsid w:val="00EB758E"/>
    <w:rsid w:val="00EC002A"/>
    <w:rsid w:val="00EC0803"/>
    <w:rsid w:val="00EC1D15"/>
    <w:rsid w:val="00EC2452"/>
    <w:rsid w:val="00EC2AC3"/>
    <w:rsid w:val="00EC3799"/>
    <w:rsid w:val="00EC3FA0"/>
    <w:rsid w:val="00EC3FB2"/>
    <w:rsid w:val="00EC4676"/>
    <w:rsid w:val="00EC48F8"/>
    <w:rsid w:val="00EC52EC"/>
    <w:rsid w:val="00EC5BF4"/>
    <w:rsid w:val="00EC5D91"/>
    <w:rsid w:val="00EC6738"/>
    <w:rsid w:val="00EC6DDD"/>
    <w:rsid w:val="00EC7AEF"/>
    <w:rsid w:val="00EC7D6F"/>
    <w:rsid w:val="00ED00C5"/>
    <w:rsid w:val="00ED0F5A"/>
    <w:rsid w:val="00ED168D"/>
    <w:rsid w:val="00ED1D5A"/>
    <w:rsid w:val="00ED1F90"/>
    <w:rsid w:val="00ED33C8"/>
    <w:rsid w:val="00ED494A"/>
    <w:rsid w:val="00ED4B5F"/>
    <w:rsid w:val="00ED56CC"/>
    <w:rsid w:val="00ED5A13"/>
    <w:rsid w:val="00ED625C"/>
    <w:rsid w:val="00ED6655"/>
    <w:rsid w:val="00ED70DE"/>
    <w:rsid w:val="00ED743A"/>
    <w:rsid w:val="00ED78B0"/>
    <w:rsid w:val="00EE0CFB"/>
    <w:rsid w:val="00EE13C6"/>
    <w:rsid w:val="00EE18F8"/>
    <w:rsid w:val="00EE1B19"/>
    <w:rsid w:val="00EE2073"/>
    <w:rsid w:val="00EE2737"/>
    <w:rsid w:val="00EE3A41"/>
    <w:rsid w:val="00EE49F6"/>
    <w:rsid w:val="00EE4C0B"/>
    <w:rsid w:val="00EE7DA3"/>
    <w:rsid w:val="00EF13C2"/>
    <w:rsid w:val="00EF2139"/>
    <w:rsid w:val="00EF2AE3"/>
    <w:rsid w:val="00EF3D67"/>
    <w:rsid w:val="00EF404A"/>
    <w:rsid w:val="00EF43B3"/>
    <w:rsid w:val="00EF6FC2"/>
    <w:rsid w:val="00EF7489"/>
    <w:rsid w:val="00F00240"/>
    <w:rsid w:val="00F02B98"/>
    <w:rsid w:val="00F03D92"/>
    <w:rsid w:val="00F03E04"/>
    <w:rsid w:val="00F03EE7"/>
    <w:rsid w:val="00F054A5"/>
    <w:rsid w:val="00F063FB"/>
    <w:rsid w:val="00F0656B"/>
    <w:rsid w:val="00F0683B"/>
    <w:rsid w:val="00F071D6"/>
    <w:rsid w:val="00F10BF6"/>
    <w:rsid w:val="00F10E1A"/>
    <w:rsid w:val="00F12649"/>
    <w:rsid w:val="00F13558"/>
    <w:rsid w:val="00F13A16"/>
    <w:rsid w:val="00F15E46"/>
    <w:rsid w:val="00F173C9"/>
    <w:rsid w:val="00F20080"/>
    <w:rsid w:val="00F21278"/>
    <w:rsid w:val="00F21B5E"/>
    <w:rsid w:val="00F22695"/>
    <w:rsid w:val="00F22D16"/>
    <w:rsid w:val="00F235C8"/>
    <w:rsid w:val="00F2375B"/>
    <w:rsid w:val="00F25765"/>
    <w:rsid w:val="00F26ECE"/>
    <w:rsid w:val="00F27630"/>
    <w:rsid w:val="00F27BA2"/>
    <w:rsid w:val="00F27F27"/>
    <w:rsid w:val="00F3024B"/>
    <w:rsid w:val="00F31CB0"/>
    <w:rsid w:val="00F33052"/>
    <w:rsid w:val="00F33F97"/>
    <w:rsid w:val="00F34C5D"/>
    <w:rsid w:val="00F351DA"/>
    <w:rsid w:val="00F35CAB"/>
    <w:rsid w:val="00F35F69"/>
    <w:rsid w:val="00F36628"/>
    <w:rsid w:val="00F36B85"/>
    <w:rsid w:val="00F37386"/>
    <w:rsid w:val="00F404A6"/>
    <w:rsid w:val="00F40605"/>
    <w:rsid w:val="00F40BB9"/>
    <w:rsid w:val="00F42E7C"/>
    <w:rsid w:val="00F43306"/>
    <w:rsid w:val="00F435B2"/>
    <w:rsid w:val="00F43EEB"/>
    <w:rsid w:val="00F44022"/>
    <w:rsid w:val="00F451D4"/>
    <w:rsid w:val="00F45999"/>
    <w:rsid w:val="00F45AAD"/>
    <w:rsid w:val="00F46D60"/>
    <w:rsid w:val="00F4782D"/>
    <w:rsid w:val="00F47EF5"/>
    <w:rsid w:val="00F50C30"/>
    <w:rsid w:val="00F5223E"/>
    <w:rsid w:val="00F526E0"/>
    <w:rsid w:val="00F529A7"/>
    <w:rsid w:val="00F53417"/>
    <w:rsid w:val="00F536C9"/>
    <w:rsid w:val="00F54D03"/>
    <w:rsid w:val="00F56032"/>
    <w:rsid w:val="00F56363"/>
    <w:rsid w:val="00F56AFE"/>
    <w:rsid w:val="00F56F88"/>
    <w:rsid w:val="00F61479"/>
    <w:rsid w:val="00F61988"/>
    <w:rsid w:val="00F61A8A"/>
    <w:rsid w:val="00F63035"/>
    <w:rsid w:val="00F6461B"/>
    <w:rsid w:val="00F6520E"/>
    <w:rsid w:val="00F66021"/>
    <w:rsid w:val="00F6696C"/>
    <w:rsid w:val="00F672FB"/>
    <w:rsid w:val="00F673D1"/>
    <w:rsid w:val="00F67940"/>
    <w:rsid w:val="00F706DA"/>
    <w:rsid w:val="00F7102F"/>
    <w:rsid w:val="00F71E8F"/>
    <w:rsid w:val="00F72365"/>
    <w:rsid w:val="00F725BE"/>
    <w:rsid w:val="00F738A2"/>
    <w:rsid w:val="00F745A8"/>
    <w:rsid w:val="00F74858"/>
    <w:rsid w:val="00F74E36"/>
    <w:rsid w:val="00F74FE8"/>
    <w:rsid w:val="00F751D6"/>
    <w:rsid w:val="00F76646"/>
    <w:rsid w:val="00F770B3"/>
    <w:rsid w:val="00F77489"/>
    <w:rsid w:val="00F77F59"/>
    <w:rsid w:val="00F80522"/>
    <w:rsid w:val="00F80D1D"/>
    <w:rsid w:val="00F81473"/>
    <w:rsid w:val="00F82F6A"/>
    <w:rsid w:val="00F8377C"/>
    <w:rsid w:val="00F84274"/>
    <w:rsid w:val="00F8659E"/>
    <w:rsid w:val="00F8670F"/>
    <w:rsid w:val="00F90595"/>
    <w:rsid w:val="00F90A3C"/>
    <w:rsid w:val="00F91607"/>
    <w:rsid w:val="00F92645"/>
    <w:rsid w:val="00F95287"/>
    <w:rsid w:val="00F95F1A"/>
    <w:rsid w:val="00F960DC"/>
    <w:rsid w:val="00F9686E"/>
    <w:rsid w:val="00F96A56"/>
    <w:rsid w:val="00F976F0"/>
    <w:rsid w:val="00FA1130"/>
    <w:rsid w:val="00FA1416"/>
    <w:rsid w:val="00FA4FD7"/>
    <w:rsid w:val="00FA63E2"/>
    <w:rsid w:val="00FA6687"/>
    <w:rsid w:val="00FA6DB5"/>
    <w:rsid w:val="00FA7662"/>
    <w:rsid w:val="00FA775E"/>
    <w:rsid w:val="00FA77CF"/>
    <w:rsid w:val="00FA7EF4"/>
    <w:rsid w:val="00FB1798"/>
    <w:rsid w:val="00FB2E6B"/>
    <w:rsid w:val="00FB3313"/>
    <w:rsid w:val="00FB36DE"/>
    <w:rsid w:val="00FB4E39"/>
    <w:rsid w:val="00FB556F"/>
    <w:rsid w:val="00FB559E"/>
    <w:rsid w:val="00FB5B49"/>
    <w:rsid w:val="00FB5C88"/>
    <w:rsid w:val="00FB6F54"/>
    <w:rsid w:val="00FB74FC"/>
    <w:rsid w:val="00FB7725"/>
    <w:rsid w:val="00FB7F96"/>
    <w:rsid w:val="00FC0A06"/>
    <w:rsid w:val="00FC2A4E"/>
    <w:rsid w:val="00FC3BFD"/>
    <w:rsid w:val="00FC4B3B"/>
    <w:rsid w:val="00FC4E82"/>
    <w:rsid w:val="00FC559F"/>
    <w:rsid w:val="00FC5C9E"/>
    <w:rsid w:val="00FC691B"/>
    <w:rsid w:val="00FC7BB1"/>
    <w:rsid w:val="00FD0D03"/>
    <w:rsid w:val="00FD123F"/>
    <w:rsid w:val="00FD19BC"/>
    <w:rsid w:val="00FD2946"/>
    <w:rsid w:val="00FD3DF5"/>
    <w:rsid w:val="00FD4BE5"/>
    <w:rsid w:val="00FD5A65"/>
    <w:rsid w:val="00FD6EDE"/>
    <w:rsid w:val="00FD7B3C"/>
    <w:rsid w:val="00FE0B0B"/>
    <w:rsid w:val="00FE10AA"/>
    <w:rsid w:val="00FE2160"/>
    <w:rsid w:val="00FE62A9"/>
    <w:rsid w:val="00FF0A59"/>
    <w:rsid w:val="00FF1EA4"/>
    <w:rsid w:val="00FF3AEE"/>
    <w:rsid w:val="00FF46B1"/>
    <w:rsid w:val="00FF4D62"/>
    <w:rsid w:val="00FF5D6E"/>
    <w:rsid w:val="00FF5F2E"/>
    <w:rsid w:val="00FF69DE"/>
    <w:rsid w:val="00FF6ACC"/>
    <w:rsid w:val="00FF7B32"/>
    <w:rsid w:val="00FF7D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A06E"/>
  <w15:docId w15:val="{DF80DFD0-DE21-41FD-BAFB-A80D9474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13"/>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rmal"/>
    <w:link w:val="Heading1Char"/>
    <w:uiPriority w:val="9"/>
    <w:qFormat/>
    <w:rsid w:val="00067C23"/>
    <w:pPr>
      <w:jc w:val="both"/>
      <w:outlineLvl w:val="0"/>
    </w:pPr>
    <w:rPr>
      <w:b/>
      <w:bCs/>
      <w:sz w:val="28"/>
      <w:szCs w:val="24"/>
    </w:rPr>
  </w:style>
  <w:style w:type="paragraph" w:styleId="Heading2">
    <w:name w:val="heading 2"/>
    <w:basedOn w:val="NoSpacing"/>
    <w:link w:val="Heading2Char"/>
    <w:uiPriority w:val="9"/>
    <w:qFormat/>
    <w:rsid w:val="00067C23"/>
    <w:pPr>
      <w:jc w:val="both"/>
      <w:outlineLvl w:val="1"/>
    </w:pPr>
    <w:rPr>
      <w:rFonts w:cs="Times New Roman"/>
      <w:b/>
      <w:bCs/>
      <w:szCs w:val="24"/>
    </w:rPr>
  </w:style>
  <w:style w:type="paragraph" w:styleId="Heading3">
    <w:name w:val="heading 3"/>
    <w:basedOn w:val="NoSpacing"/>
    <w:next w:val="Normal"/>
    <w:link w:val="Heading3Char"/>
    <w:uiPriority w:val="9"/>
    <w:unhideWhenUsed/>
    <w:qFormat/>
    <w:rsid w:val="00163AF0"/>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4DD"/>
    <w:pPr>
      <w:spacing w:after="0" w:line="240" w:lineRule="auto"/>
    </w:pPr>
    <w:rPr>
      <w:rFonts w:ascii="Times New Roman" w:hAnsi="Times New Roman"/>
      <w:sz w:val="24"/>
    </w:rPr>
  </w:style>
  <w:style w:type="character" w:styleId="Hyperlink">
    <w:name w:val="Hyperlink"/>
    <w:basedOn w:val="DefaultParagraphFont"/>
    <w:uiPriority w:val="99"/>
    <w:unhideWhenUsed/>
    <w:rsid w:val="0083705F"/>
    <w:rPr>
      <w:color w:val="0563C1" w:themeColor="hyperlink"/>
      <w:u w:val="single"/>
    </w:rPr>
  </w:style>
  <w:style w:type="character" w:styleId="CommentReference">
    <w:name w:val="annotation reference"/>
    <w:basedOn w:val="DefaultParagraphFont"/>
    <w:uiPriority w:val="99"/>
    <w:semiHidden/>
    <w:unhideWhenUsed/>
    <w:rsid w:val="00ED1D5A"/>
    <w:rPr>
      <w:sz w:val="16"/>
      <w:szCs w:val="16"/>
    </w:rPr>
  </w:style>
  <w:style w:type="paragraph" w:styleId="CommentText">
    <w:name w:val="annotation text"/>
    <w:basedOn w:val="Normal"/>
    <w:link w:val="CommentTextChar"/>
    <w:uiPriority w:val="99"/>
    <w:unhideWhenUsed/>
    <w:rsid w:val="00ED1D5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1D5A"/>
    <w:rPr>
      <w:sz w:val="20"/>
      <w:szCs w:val="20"/>
    </w:rPr>
  </w:style>
  <w:style w:type="paragraph" w:styleId="CommentSubject">
    <w:name w:val="annotation subject"/>
    <w:basedOn w:val="CommentText"/>
    <w:next w:val="CommentText"/>
    <w:link w:val="CommentSubjectChar"/>
    <w:uiPriority w:val="99"/>
    <w:semiHidden/>
    <w:unhideWhenUsed/>
    <w:rsid w:val="00ED1D5A"/>
    <w:rPr>
      <w:b/>
      <w:bCs/>
    </w:rPr>
  </w:style>
  <w:style w:type="character" w:customStyle="1" w:styleId="CommentSubjectChar">
    <w:name w:val="Comment Subject Char"/>
    <w:basedOn w:val="CommentTextChar"/>
    <w:link w:val="CommentSubject"/>
    <w:uiPriority w:val="99"/>
    <w:semiHidden/>
    <w:rsid w:val="00ED1D5A"/>
    <w:rPr>
      <w:b/>
      <w:bCs/>
      <w:sz w:val="20"/>
      <w:szCs w:val="20"/>
    </w:rPr>
  </w:style>
  <w:style w:type="paragraph" w:styleId="BalloonText">
    <w:name w:val="Balloon Text"/>
    <w:basedOn w:val="Normal"/>
    <w:link w:val="BalloonTextChar"/>
    <w:uiPriority w:val="99"/>
    <w:semiHidden/>
    <w:unhideWhenUsed/>
    <w:rsid w:val="00ED1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D5A"/>
    <w:rPr>
      <w:rFonts w:ascii="Segoe UI" w:hAnsi="Segoe UI" w:cs="Segoe UI"/>
      <w:sz w:val="18"/>
      <w:szCs w:val="18"/>
    </w:rPr>
  </w:style>
  <w:style w:type="paragraph" w:styleId="Revision">
    <w:name w:val="Revision"/>
    <w:hidden/>
    <w:uiPriority w:val="99"/>
    <w:semiHidden/>
    <w:rsid w:val="00A57655"/>
    <w:pPr>
      <w:spacing w:after="0" w:line="240" w:lineRule="auto"/>
    </w:pPr>
  </w:style>
  <w:style w:type="table" w:styleId="TableGrid">
    <w:name w:val="Table Grid"/>
    <w:basedOn w:val="TableNormal"/>
    <w:uiPriority w:val="39"/>
    <w:rsid w:val="00ED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44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63AF0"/>
    <w:rPr>
      <w:rFonts w:ascii="Times New Roman" w:hAnsi="Times New Roman"/>
      <w:b/>
      <w:sz w:val="24"/>
    </w:rPr>
  </w:style>
  <w:style w:type="paragraph" w:styleId="FootnoteText">
    <w:name w:val="footnote text"/>
    <w:basedOn w:val="Normal"/>
    <w:link w:val="FootnoteTextChar"/>
    <w:uiPriority w:val="99"/>
    <w:unhideWhenUsed/>
    <w:rsid w:val="00CA182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1828"/>
    <w:rPr>
      <w:sz w:val="20"/>
      <w:szCs w:val="20"/>
    </w:rPr>
  </w:style>
  <w:style w:type="character" w:styleId="FootnoteReference">
    <w:name w:val="footnote reference"/>
    <w:basedOn w:val="DefaultParagraphFont"/>
    <w:uiPriority w:val="99"/>
    <w:semiHidden/>
    <w:unhideWhenUsed/>
    <w:rsid w:val="00CA1828"/>
    <w:rPr>
      <w:vertAlign w:val="superscript"/>
    </w:rPr>
  </w:style>
  <w:style w:type="paragraph" w:styleId="Header">
    <w:name w:val="header"/>
    <w:basedOn w:val="Normal"/>
    <w:link w:val="HeaderChar"/>
    <w:uiPriority w:val="99"/>
    <w:unhideWhenUsed/>
    <w:rsid w:val="00573DBA"/>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3DBA"/>
  </w:style>
  <w:style w:type="paragraph" w:styleId="Footer">
    <w:name w:val="footer"/>
    <w:basedOn w:val="Normal"/>
    <w:link w:val="FooterChar"/>
    <w:uiPriority w:val="99"/>
    <w:unhideWhenUsed/>
    <w:rsid w:val="00573DBA"/>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3DBA"/>
  </w:style>
  <w:style w:type="character" w:customStyle="1" w:styleId="term1">
    <w:name w:val="term1"/>
    <w:basedOn w:val="DefaultParagraphFont"/>
    <w:rsid w:val="00182C03"/>
    <w:rPr>
      <w:rFonts w:ascii="Arial" w:hAnsi="Arial" w:cs="Arial" w:hint="default"/>
      <w:b/>
      <w:bCs/>
      <w:color w:val="0000A0"/>
      <w:sz w:val="27"/>
      <w:szCs w:val="27"/>
    </w:rPr>
  </w:style>
  <w:style w:type="character" w:customStyle="1" w:styleId="leitudss14">
    <w:name w:val="leitud_ss14"/>
    <w:basedOn w:val="DefaultParagraphFont"/>
    <w:rsid w:val="00A22485"/>
    <w:rPr>
      <w:shd w:val="clear" w:color="auto" w:fill="FFD700"/>
    </w:rPr>
  </w:style>
  <w:style w:type="character" w:customStyle="1" w:styleId="gki6">
    <w:name w:val="gki6"/>
    <w:basedOn w:val="DefaultParagraphFont"/>
    <w:rsid w:val="00A22485"/>
    <w:rPr>
      <w:i/>
      <w:iCs/>
      <w:sz w:val="24"/>
      <w:szCs w:val="24"/>
    </w:rPr>
  </w:style>
  <w:style w:type="character" w:customStyle="1" w:styleId="a2">
    <w:name w:val="a2"/>
    <w:basedOn w:val="DefaultParagraphFont"/>
    <w:rsid w:val="00A22485"/>
    <w:rPr>
      <w:rFonts w:ascii="Calibri" w:hAnsi="Calibri" w:cs="Calibri" w:hint="default"/>
      <w:sz w:val="27"/>
      <w:szCs w:val="27"/>
    </w:rPr>
  </w:style>
  <w:style w:type="character" w:customStyle="1" w:styleId="poh2">
    <w:name w:val="poh2"/>
    <w:basedOn w:val="DefaultParagraphFont"/>
    <w:rsid w:val="00A22485"/>
    <w:rPr>
      <w:rFonts w:ascii="Calibri" w:hAnsi="Calibri" w:cs="Calibri" w:hint="default"/>
      <w:sz w:val="27"/>
      <w:szCs w:val="27"/>
    </w:rPr>
  </w:style>
  <w:style w:type="character" w:customStyle="1" w:styleId="tt">
    <w:name w:val="tt"/>
    <w:basedOn w:val="DefaultParagraphFont"/>
    <w:rsid w:val="00A22485"/>
  </w:style>
  <w:style w:type="character" w:customStyle="1" w:styleId="UnresolvedMention1">
    <w:name w:val="Unresolved Mention1"/>
    <w:basedOn w:val="DefaultParagraphFont"/>
    <w:uiPriority w:val="99"/>
    <w:semiHidden/>
    <w:unhideWhenUsed/>
    <w:rsid w:val="001A1FCA"/>
    <w:rPr>
      <w:color w:val="605E5C"/>
      <w:shd w:val="clear" w:color="auto" w:fill="E1DFDD"/>
    </w:rPr>
  </w:style>
  <w:style w:type="paragraph" w:styleId="ListParagraph">
    <w:name w:val="List Paragraph"/>
    <w:basedOn w:val="Normal"/>
    <w:uiPriority w:val="34"/>
    <w:qFormat/>
    <w:rsid w:val="00686F37"/>
    <w:pPr>
      <w:spacing w:after="160" w:line="259" w:lineRule="auto"/>
      <w:ind w:left="720"/>
      <w:contextualSpacing/>
    </w:pPr>
    <w:rPr>
      <w:rFonts w:asciiTheme="minorHAnsi" w:eastAsiaTheme="minorHAnsi" w:hAnsiTheme="minorHAnsi" w:cstheme="minorBidi"/>
      <w:sz w:val="22"/>
      <w:szCs w:val="22"/>
    </w:rPr>
  </w:style>
  <w:style w:type="character" w:customStyle="1" w:styleId="tyhik">
    <w:name w:val="tyhik"/>
    <w:basedOn w:val="DefaultParagraphFont"/>
    <w:rsid w:val="00AC6860"/>
  </w:style>
  <w:style w:type="character" w:customStyle="1" w:styleId="Heading2Char">
    <w:name w:val="Heading 2 Char"/>
    <w:basedOn w:val="DefaultParagraphFont"/>
    <w:link w:val="Heading2"/>
    <w:uiPriority w:val="9"/>
    <w:rsid w:val="00067C23"/>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0E2C70"/>
    <w:rPr>
      <w:color w:val="954F72" w:themeColor="followedHyperlink"/>
      <w:u w:val="single"/>
    </w:rPr>
  </w:style>
  <w:style w:type="character" w:customStyle="1" w:styleId="Heading1Char">
    <w:name w:val="Heading 1 Char"/>
    <w:basedOn w:val="DefaultParagraphFont"/>
    <w:link w:val="Heading1"/>
    <w:uiPriority w:val="9"/>
    <w:rsid w:val="00067C23"/>
    <w:rPr>
      <w:rFonts w:ascii="Times New Roman" w:hAnsi="Times New Roman"/>
      <w:b/>
      <w:bCs/>
      <w:sz w:val="28"/>
      <w:szCs w:val="24"/>
    </w:rPr>
  </w:style>
  <w:style w:type="character" w:styleId="Strong">
    <w:name w:val="Strong"/>
    <w:basedOn w:val="DefaultParagraphFont"/>
    <w:uiPriority w:val="22"/>
    <w:qFormat/>
    <w:rsid w:val="00B05D34"/>
    <w:rPr>
      <w:b/>
      <w:bCs/>
    </w:rPr>
  </w:style>
  <w:style w:type="character" w:customStyle="1" w:styleId="UnresolvedMention2">
    <w:name w:val="Unresolved Mention2"/>
    <w:basedOn w:val="DefaultParagraphFont"/>
    <w:uiPriority w:val="99"/>
    <w:semiHidden/>
    <w:unhideWhenUsed/>
    <w:rsid w:val="00C115AB"/>
    <w:rPr>
      <w:color w:val="605E5C"/>
      <w:shd w:val="clear" w:color="auto" w:fill="E1DFDD"/>
    </w:rPr>
  </w:style>
  <w:style w:type="character" w:customStyle="1" w:styleId="UnresolvedMention3">
    <w:name w:val="Unresolved Mention3"/>
    <w:basedOn w:val="DefaultParagraphFont"/>
    <w:uiPriority w:val="99"/>
    <w:semiHidden/>
    <w:unhideWhenUsed/>
    <w:rsid w:val="0027752C"/>
    <w:rPr>
      <w:color w:val="605E5C"/>
      <w:shd w:val="clear" w:color="auto" w:fill="E1DFDD"/>
    </w:rPr>
  </w:style>
  <w:style w:type="character" w:customStyle="1" w:styleId="UnresolvedMention4">
    <w:name w:val="Unresolved Mention4"/>
    <w:basedOn w:val="DefaultParagraphFont"/>
    <w:uiPriority w:val="99"/>
    <w:semiHidden/>
    <w:unhideWhenUsed/>
    <w:rsid w:val="000A301C"/>
    <w:rPr>
      <w:color w:val="605E5C"/>
      <w:shd w:val="clear" w:color="auto" w:fill="E1DFDD"/>
    </w:rPr>
  </w:style>
  <w:style w:type="paragraph" w:styleId="TOCHeading">
    <w:name w:val="TOC Heading"/>
    <w:basedOn w:val="Heading1"/>
    <w:next w:val="Normal"/>
    <w:uiPriority w:val="39"/>
    <w:unhideWhenUsed/>
    <w:qFormat/>
    <w:rsid w:val="00E237B3"/>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E237B3"/>
    <w:pPr>
      <w:spacing w:after="100"/>
    </w:pPr>
  </w:style>
  <w:style w:type="paragraph" w:styleId="TOC2">
    <w:name w:val="toc 2"/>
    <w:basedOn w:val="Normal"/>
    <w:next w:val="Normal"/>
    <w:autoRedefine/>
    <w:uiPriority w:val="39"/>
    <w:unhideWhenUsed/>
    <w:rsid w:val="00E237B3"/>
    <w:pPr>
      <w:spacing w:after="100"/>
      <w:ind w:left="240"/>
    </w:pPr>
  </w:style>
  <w:style w:type="paragraph" w:styleId="TOC3">
    <w:name w:val="toc 3"/>
    <w:basedOn w:val="Normal"/>
    <w:next w:val="Normal"/>
    <w:autoRedefine/>
    <w:uiPriority w:val="39"/>
    <w:unhideWhenUsed/>
    <w:rsid w:val="002311DB"/>
    <w:pPr>
      <w:tabs>
        <w:tab w:val="right" w:leader="dot" w:pos="9062"/>
      </w:tabs>
      <w:ind w:left="480"/>
    </w:pPr>
  </w:style>
  <w:style w:type="character" w:customStyle="1" w:styleId="UnresolvedMention5">
    <w:name w:val="Unresolved Mention5"/>
    <w:basedOn w:val="DefaultParagraphFont"/>
    <w:uiPriority w:val="99"/>
    <w:semiHidden/>
    <w:unhideWhenUsed/>
    <w:rsid w:val="007A1303"/>
    <w:rPr>
      <w:color w:val="605E5C"/>
      <w:shd w:val="clear" w:color="auto" w:fill="E1DFDD"/>
    </w:rPr>
  </w:style>
  <w:style w:type="character" w:customStyle="1" w:styleId="UnresolvedMention6">
    <w:name w:val="Unresolved Mention6"/>
    <w:basedOn w:val="DefaultParagraphFont"/>
    <w:uiPriority w:val="99"/>
    <w:semiHidden/>
    <w:unhideWhenUsed/>
    <w:rsid w:val="000D0219"/>
    <w:rPr>
      <w:color w:val="605E5C"/>
      <w:shd w:val="clear" w:color="auto" w:fill="E1DFDD"/>
    </w:rPr>
  </w:style>
  <w:style w:type="character" w:styleId="UnresolvedMention">
    <w:name w:val="Unresolved Mention"/>
    <w:basedOn w:val="DefaultParagraphFont"/>
    <w:uiPriority w:val="99"/>
    <w:semiHidden/>
    <w:unhideWhenUsed/>
    <w:rsid w:val="00755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5611">
      <w:bodyDiv w:val="1"/>
      <w:marLeft w:val="0"/>
      <w:marRight w:val="0"/>
      <w:marTop w:val="0"/>
      <w:marBottom w:val="0"/>
      <w:divBdr>
        <w:top w:val="none" w:sz="0" w:space="0" w:color="auto"/>
        <w:left w:val="none" w:sz="0" w:space="0" w:color="auto"/>
        <w:bottom w:val="none" w:sz="0" w:space="0" w:color="auto"/>
        <w:right w:val="none" w:sz="0" w:space="0" w:color="auto"/>
      </w:divBdr>
    </w:div>
    <w:div w:id="550073437">
      <w:bodyDiv w:val="1"/>
      <w:marLeft w:val="0"/>
      <w:marRight w:val="0"/>
      <w:marTop w:val="0"/>
      <w:marBottom w:val="0"/>
      <w:divBdr>
        <w:top w:val="none" w:sz="0" w:space="0" w:color="auto"/>
        <w:left w:val="none" w:sz="0" w:space="0" w:color="auto"/>
        <w:bottom w:val="none" w:sz="0" w:space="0" w:color="auto"/>
        <w:right w:val="none" w:sz="0" w:space="0" w:color="auto"/>
      </w:divBdr>
    </w:div>
    <w:div w:id="563414639">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4">
          <w:marLeft w:val="0"/>
          <w:marRight w:val="0"/>
          <w:marTop w:val="0"/>
          <w:marBottom w:val="0"/>
          <w:divBdr>
            <w:top w:val="none" w:sz="0" w:space="0" w:color="auto"/>
            <w:left w:val="none" w:sz="0" w:space="0" w:color="auto"/>
            <w:bottom w:val="none" w:sz="0" w:space="0" w:color="auto"/>
            <w:right w:val="none" w:sz="0" w:space="0" w:color="auto"/>
          </w:divBdr>
          <w:divsChild>
            <w:div w:id="1974285862">
              <w:marLeft w:val="0"/>
              <w:marRight w:val="0"/>
              <w:marTop w:val="0"/>
              <w:marBottom w:val="0"/>
              <w:divBdr>
                <w:top w:val="none" w:sz="0" w:space="0" w:color="auto"/>
                <w:left w:val="none" w:sz="0" w:space="0" w:color="auto"/>
                <w:bottom w:val="none" w:sz="0" w:space="0" w:color="auto"/>
                <w:right w:val="none" w:sz="0" w:space="0" w:color="auto"/>
              </w:divBdr>
              <w:divsChild>
                <w:div w:id="1662810630">
                  <w:marLeft w:val="0"/>
                  <w:marRight w:val="0"/>
                  <w:marTop w:val="0"/>
                  <w:marBottom w:val="0"/>
                  <w:divBdr>
                    <w:top w:val="none" w:sz="0" w:space="0" w:color="auto"/>
                    <w:left w:val="none" w:sz="0" w:space="0" w:color="auto"/>
                    <w:bottom w:val="none" w:sz="0" w:space="0" w:color="auto"/>
                    <w:right w:val="none" w:sz="0" w:space="0" w:color="auto"/>
                  </w:divBdr>
                  <w:divsChild>
                    <w:div w:id="1747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2093">
      <w:bodyDiv w:val="1"/>
      <w:marLeft w:val="0"/>
      <w:marRight w:val="0"/>
      <w:marTop w:val="0"/>
      <w:marBottom w:val="0"/>
      <w:divBdr>
        <w:top w:val="none" w:sz="0" w:space="0" w:color="auto"/>
        <w:left w:val="none" w:sz="0" w:space="0" w:color="auto"/>
        <w:bottom w:val="none" w:sz="0" w:space="0" w:color="auto"/>
        <w:right w:val="none" w:sz="0" w:space="0" w:color="auto"/>
      </w:divBdr>
    </w:div>
    <w:div w:id="1086918447">
      <w:bodyDiv w:val="1"/>
      <w:marLeft w:val="0"/>
      <w:marRight w:val="0"/>
      <w:marTop w:val="0"/>
      <w:marBottom w:val="0"/>
      <w:divBdr>
        <w:top w:val="none" w:sz="0" w:space="0" w:color="auto"/>
        <w:left w:val="none" w:sz="0" w:space="0" w:color="auto"/>
        <w:bottom w:val="none" w:sz="0" w:space="0" w:color="auto"/>
        <w:right w:val="none" w:sz="0" w:space="0" w:color="auto"/>
      </w:divBdr>
    </w:div>
    <w:div w:id="1338465356">
      <w:bodyDiv w:val="1"/>
      <w:marLeft w:val="0"/>
      <w:marRight w:val="0"/>
      <w:marTop w:val="0"/>
      <w:marBottom w:val="0"/>
      <w:divBdr>
        <w:top w:val="none" w:sz="0" w:space="0" w:color="auto"/>
        <w:left w:val="none" w:sz="0" w:space="0" w:color="auto"/>
        <w:bottom w:val="none" w:sz="0" w:space="0" w:color="auto"/>
        <w:right w:val="none" w:sz="0" w:space="0" w:color="auto"/>
      </w:divBdr>
    </w:div>
    <w:div w:id="1352414871">
      <w:bodyDiv w:val="1"/>
      <w:marLeft w:val="0"/>
      <w:marRight w:val="0"/>
      <w:marTop w:val="0"/>
      <w:marBottom w:val="0"/>
      <w:divBdr>
        <w:top w:val="none" w:sz="0" w:space="0" w:color="auto"/>
        <w:left w:val="none" w:sz="0" w:space="0" w:color="auto"/>
        <w:bottom w:val="none" w:sz="0" w:space="0" w:color="auto"/>
        <w:right w:val="none" w:sz="0" w:space="0" w:color="auto"/>
      </w:divBdr>
    </w:div>
    <w:div w:id="1421870483">
      <w:bodyDiv w:val="1"/>
      <w:marLeft w:val="0"/>
      <w:marRight w:val="0"/>
      <w:marTop w:val="0"/>
      <w:marBottom w:val="0"/>
      <w:divBdr>
        <w:top w:val="none" w:sz="0" w:space="0" w:color="auto"/>
        <w:left w:val="none" w:sz="0" w:space="0" w:color="auto"/>
        <w:bottom w:val="none" w:sz="0" w:space="0" w:color="auto"/>
        <w:right w:val="none" w:sz="0" w:space="0" w:color="auto"/>
      </w:divBdr>
    </w:div>
    <w:div w:id="1565214084">
      <w:bodyDiv w:val="1"/>
      <w:marLeft w:val="0"/>
      <w:marRight w:val="0"/>
      <w:marTop w:val="0"/>
      <w:marBottom w:val="0"/>
      <w:divBdr>
        <w:top w:val="none" w:sz="0" w:space="0" w:color="auto"/>
        <w:left w:val="none" w:sz="0" w:space="0" w:color="auto"/>
        <w:bottom w:val="none" w:sz="0" w:space="0" w:color="auto"/>
        <w:right w:val="none" w:sz="0" w:space="0" w:color="auto"/>
      </w:divBdr>
    </w:div>
    <w:div w:id="1903179618">
      <w:bodyDiv w:val="1"/>
      <w:marLeft w:val="0"/>
      <w:marRight w:val="0"/>
      <w:marTop w:val="0"/>
      <w:marBottom w:val="0"/>
      <w:divBdr>
        <w:top w:val="none" w:sz="0" w:space="0" w:color="auto"/>
        <w:left w:val="none" w:sz="0" w:space="0" w:color="auto"/>
        <w:bottom w:val="none" w:sz="0" w:space="0" w:color="auto"/>
        <w:right w:val="none" w:sz="0" w:space="0" w:color="auto"/>
      </w:divBdr>
    </w:div>
    <w:div w:id="1969972169">
      <w:bodyDiv w:val="1"/>
      <w:marLeft w:val="0"/>
      <w:marRight w:val="0"/>
      <w:marTop w:val="0"/>
      <w:marBottom w:val="0"/>
      <w:divBdr>
        <w:top w:val="none" w:sz="0" w:space="0" w:color="auto"/>
        <w:left w:val="none" w:sz="0" w:space="0" w:color="auto"/>
        <w:bottom w:val="none" w:sz="0" w:space="0" w:color="auto"/>
        <w:right w:val="none" w:sz="0" w:space="0" w:color="auto"/>
      </w:divBdr>
    </w:div>
    <w:div w:id="2004317039">
      <w:bodyDiv w:val="1"/>
      <w:marLeft w:val="0"/>
      <w:marRight w:val="0"/>
      <w:marTop w:val="0"/>
      <w:marBottom w:val="0"/>
      <w:divBdr>
        <w:top w:val="none" w:sz="0" w:space="0" w:color="auto"/>
        <w:left w:val="none" w:sz="0" w:space="0" w:color="auto"/>
        <w:bottom w:val="none" w:sz="0" w:space="0" w:color="auto"/>
        <w:right w:val="none" w:sz="0" w:space="0" w:color="auto"/>
      </w:divBdr>
    </w:div>
    <w:div w:id="2037582752">
      <w:bodyDiv w:val="1"/>
      <w:marLeft w:val="0"/>
      <w:marRight w:val="0"/>
      <w:marTop w:val="0"/>
      <w:marBottom w:val="0"/>
      <w:divBdr>
        <w:top w:val="none" w:sz="0" w:space="0" w:color="auto"/>
        <w:left w:val="none" w:sz="0" w:space="0" w:color="auto"/>
        <w:bottom w:val="none" w:sz="0" w:space="0" w:color="auto"/>
        <w:right w:val="none" w:sz="0" w:space="0" w:color="auto"/>
      </w:divBdr>
    </w:div>
    <w:div w:id="2044397913">
      <w:bodyDiv w:val="1"/>
      <w:marLeft w:val="0"/>
      <w:marRight w:val="0"/>
      <w:marTop w:val="0"/>
      <w:marBottom w:val="0"/>
      <w:divBdr>
        <w:top w:val="none" w:sz="0" w:space="0" w:color="auto"/>
        <w:left w:val="none" w:sz="0" w:space="0" w:color="auto"/>
        <w:bottom w:val="none" w:sz="0" w:space="0" w:color="auto"/>
        <w:right w:val="none" w:sz="0" w:space="0" w:color="auto"/>
      </w:divBdr>
      <w:divsChild>
        <w:div w:id="1499924457">
          <w:marLeft w:val="0"/>
          <w:marRight w:val="0"/>
          <w:marTop w:val="0"/>
          <w:marBottom w:val="0"/>
          <w:divBdr>
            <w:top w:val="none" w:sz="0" w:space="0" w:color="auto"/>
            <w:left w:val="none" w:sz="0" w:space="0" w:color="auto"/>
            <w:bottom w:val="none" w:sz="0" w:space="0" w:color="auto"/>
            <w:right w:val="none" w:sz="0" w:space="0" w:color="auto"/>
          </w:divBdr>
          <w:divsChild>
            <w:div w:id="2026327451">
              <w:marLeft w:val="0"/>
              <w:marRight w:val="0"/>
              <w:marTop w:val="0"/>
              <w:marBottom w:val="0"/>
              <w:divBdr>
                <w:top w:val="none" w:sz="0" w:space="0" w:color="auto"/>
                <w:left w:val="none" w:sz="0" w:space="0" w:color="auto"/>
                <w:bottom w:val="none" w:sz="0" w:space="0" w:color="auto"/>
                <w:right w:val="none" w:sz="0" w:space="0" w:color="auto"/>
              </w:divBdr>
              <w:divsChild>
                <w:div w:id="1912426158">
                  <w:marLeft w:val="0"/>
                  <w:marRight w:val="0"/>
                  <w:marTop w:val="0"/>
                  <w:marBottom w:val="0"/>
                  <w:divBdr>
                    <w:top w:val="none" w:sz="0" w:space="0" w:color="auto"/>
                    <w:left w:val="none" w:sz="0" w:space="0" w:color="auto"/>
                    <w:bottom w:val="none" w:sz="0" w:space="0" w:color="auto"/>
                    <w:right w:val="none" w:sz="0" w:space="0" w:color="auto"/>
                  </w:divBdr>
                  <w:divsChild>
                    <w:div w:id="8165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rr.ee/1609168060/evecon-rajab-koos-prantslastega-harjumaale-euroopa-voimsaima-akupargi" TargetMode="External"/><Relationship Id="rId1" Type="http://schemas.openxmlformats.org/officeDocument/2006/relationships/hyperlink" Target="https://ctif.org/news/large-explosion-and-fire-french-lithium-battery-warehous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k.jaanso@rescue.ee"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rescue.ee/et/kemikaaliseaduse-32-juhendid" TargetMode="External"/><Relationship Id="rId7" Type="http://schemas.openxmlformats.org/officeDocument/2006/relationships/settings" Target="settings.xml"/><Relationship Id="rId12" Type="http://schemas.openxmlformats.org/officeDocument/2006/relationships/hyperlink" Target="mailto:reelika.kuusik@rescue.ee"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ike.olmre@siseministeerium.e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tikan@siseministeerium.e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gerly.herm@siseministeerium.ee"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ojamaa-muru@siseministeerium.e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se.gov.uk/pubns/books/hsg71.htm" TargetMode="External"/><Relationship Id="rId3" Type="http://schemas.openxmlformats.org/officeDocument/2006/relationships/hyperlink" Target="https://www.riigiteataja.ee/akt/125012022004?leiaKehtiv" TargetMode="External"/><Relationship Id="rId7" Type="http://schemas.openxmlformats.org/officeDocument/2006/relationships/hyperlink" Target="https://www.riigiteataja.ee/akt/12910878" TargetMode="External"/><Relationship Id="rId2" Type="http://schemas.openxmlformats.org/officeDocument/2006/relationships/hyperlink" Target="https://www.riigiteataja.ee/akt/112012016019" TargetMode="External"/><Relationship Id="rId1" Type="http://schemas.openxmlformats.org/officeDocument/2006/relationships/hyperlink" Target="https://www.riigikogu.ee/tegevus/eelnoud/eelnou/3eb52431-7bf2-4bc5-84bd-4c6313f720c4/veeseaduse-muutmise-seadus" TargetMode="External"/><Relationship Id="rId6" Type="http://schemas.openxmlformats.org/officeDocument/2006/relationships/hyperlink" Target="https://eur-lex.europa.eu/legal-content/ET/TXT/?uri=CELEX%3A32008R1272&amp;qid=1686651572321" TargetMode="External"/><Relationship Id="rId5" Type="http://schemas.openxmlformats.org/officeDocument/2006/relationships/hyperlink" Target="https://eur-lex.europa.eu/legal-content/ET/TXT/PDF/?uri=CELEX:32006R1907&amp;qid=1686650830100" TargetMode="External"/><Relationship Id="rId10" Type="http://schemas.openxmlformats.org/officeDocument/2006/relationships/hyperlink" Target="https://eur-lex.europa.eu/legal-content/ET/TXT/?qid=1686731515594&amp;uri=CELEX%3A32012L0018" TargetMode="External"/><Relationship Id="rId4" Type="http://schemas.openxmlformats.org/officeDocument/2006/relationships/hyperlink" Target="https://www.riigiteataja.ee/akt/118122020017?leiaKehtiv" TargetMode="External"/><Relationship Id="rId9" Type="http://schemas.openxmlformats.org/officeDocument/2006/relationships/hyperlink" Target="https://tukes.fi/documents/5470659/6406815/Tuotantolaitosten+sijoittaminen/ab664564-66f7-49b7-96bb-316dfefe4517/Tuotantolaitosten+sijoittam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731CAC3A1A140AB0F9F653E4F9B87" ma:contentTypeVersion="14" ma:contentTypeDescription="Create a new document." ma:contentTypeScope="" ma:versionID="1211e01e5d83f41b66de8aa0b8b71d2c">
  <xsd:schema xmlns:xsd="http://www.w3.org/2001/XMLSchema" xmlns:xs="http://www.w3.org/2001/XMLSchema" xmlns:p="http://schemas.microsoft.com/office/2006/metadata/properties" xmlns:ns3="048bd8a0-f038-4f93-b4ce-bc622852447e" xmlns:ns4="9f179236-f864-4825-b3c2-99a5be8a958d" targetNamespace="http://schemas.microsoft.com/office/2006/metadata/properties" ma:root="true" ma:fieldsID="4424a1db339b0b5f95026b14a0b81e3f" ns3:_="" ns4:_="">
    <xsd:import namespace="048bd8a0-f038-4f93-b4ce-bc622852447e"/>
    <xsd:import namespace="9f179236-f864-4825-b3c2-99a5be8a95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d8a0-f038-4f93-b4ce-bc6228524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79236-f864-4825-b3c2-99a5be8a95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7ABB8-8AAE-47F2-B026-C177954EEA6A}">
  <ds:schemaRefs>
    <ds:schemaRef ds:uri="http://schemas.openxmlformats.org/officeDocument/2006/bibliography"/>
  </ds:schemaRefs>
</ds:datastoreItem>
</file>

<file path=customXml/itemProps2.xml><?xml version="1.0" encoding="utf-8"?>
<ds:datastoreItem xmlns:ds="http://schemas.openxmlformats.org/officeDocument/2006/customXml" ds:itemID="{6D18A620-B24D-432E-8D10-50115B9B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d8a0-f038-4f93-b4ce-bc622852447e"/>
    <ds:schemaRef ds:uri="9f179236-f864-4825-b3c2-99a5be8a9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A92E1-A288-4628-9751-95AE73699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CECD3-70F6-4C65-AC1D-AC7A572CE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12575</Words>
  <Characters>72936</Characters>
  <Application>Microsoft Office Word</Application>
  <DocSecurity>0</DocSecurity>
  <Lines>607</Lines>
  <Paragraphs>170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SMIT</Company>
  <LinksUpToDate>false</LinksUpToDate>
  <CharactersWithSpaces>85341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Kadi Tisler</dc:creator>
  <cp:lastModifiedBy>Mari Tikan</cp:lastModifiedBy>
  <cp:revision>2</cp:revision>
  <dcterms:created xsi:type="dcterms:W3CDTF">2024-03-08T11:07:00Z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0x010100F6F731CAC3A1A140AB0F9F653E4F9B87</vt:lpwstr>
  </property>
</Properties>
</file>